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ackground w:color="FBF7F0"/>
  <w:body>
    <w:p>
      <w:pPr>
        <w:spacing w:before="40" w:after="60"/>
        <w:jc w:val="center"/>
      </w:pPr>
      <w:r>
        <w:drawing>
          <wp:inline xmlns:wp="http://schemas.openxmlformats.org/drawingml/2006/wordprocessingDrawing" distT="0" distB="0" distL="0" distR="0">
            <wp:extent cx="438912" cy="438912"/>
            <wp:effectExtent l="0" t="0" r="0" b="0"/>
            <wp:docPr id="1874" name="Bearing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4" name="BearingMark"/>
                    <pic:cNvPicPr/>
                  </pic:nvPicPr>
                  <pic:blipFill>
                    <a:blip r:embed="rIdBearing"/>
                    <a:stretch>
                      <a:fillRect/>
                    </a:stretch>
                  </pic:blipFill>
                  <pic:spPr>
                    <a:xfrm>
                      <a:off x="0" y="0"/>
                      <a:ext cx="438912" cy="438912"/>
                    </a:xfrm>
                    <a:prstGeom prst="rect">
                      <a:avLst/>
                    </a:prstGeom>
                  </pic:spPr>
                </pic:pic>
              </a:graphicData>
            </a:graphic>
          </wp:inline>
        </w:drawing>
      </w:r>
    </w:p>
    <w:p>
      <w:pPr>
        <w:spacing w:after="80" w:before="80"/>
        <w:jc w:val="center"/>
      </w:pPr>
      <w:r>
        <w:rPr>
          <w:rFonts w:ascii="Calibri" w:cs="Calibri" w:eastAsia="Calibri" w:hAnsi="Calibri"/>
          <w:b w:val="false"/>
          <w:bCs w:val="false"/>
          <w:i w:val="false"/>
          <w:iCs w:val="false"/>
          <w:color w:val="1C1915"/>
          <w:sz w:val="18"/>
          <w:szCs w:val="18"/>
        </w:rPr>
        <w:t xml:space="preserve">cuttleflow SYSTEMS  ·  33°53′S · 151°16′E · SYDNEY</w:t>
      </w:r>
    </w:p>
    <w:p>
      <w:pPr>
        <w:spacing w:after="600"/>
      </w:pPr>
    </w:p>
    <w:p>
      <w:pPr>
        <w:spacing w:after="200" w:before="200"/>
        <w:jc w:val="center"/>
      </w:pPr>
      <w:r>
        <w:rPr>
          <w:rFonts w:ascii="Calibri" w:cs="Calibri" w:eastAsia="Calibri" w:hAnsi="Calibri"/>
          <w:b/>
          <w:bCs/>
          <w:color w:val="1C1915"/>
          <w:sz w:val="44"/>
          <w:szCs w:val="44"/>
        </w:rPr>
        <w:t xml:space="preserve">SIDE A DIRECTORS' AND OFFICERS'</w:t>
      </w:r>
    </w:p>
    <w:p>
      <w:pPr>
        <w:spacing w:after="200" w:before="200"/>
        <w:jc w:val="center"/>
      </w:pPr>
      <w:r>
        <w:rPr>
          <w:rFonts w:ascii="Calibri" w:cs="Calibri" w:eastAsia="Calibri" w:hAnsi="Calibri"/>
          <w:b/>
          <w:bCs/>
          <w:color w:val="1C1915"/>
          <w:sz w:val="44"/>
          <w:szCs w:val="44"/>
        </w:rPr>
        <w:t xml:space="preserve">LIABILITY INSURANCE</w:t>
      </w:r>
    </w:p>
    <w:p>
      <w:pPr>
        <w:spacing w:after="80" w:before="80"/>
        <w:jc w:val="center"/>
      </w:pPr>
      <w:r>
        <w:rPr>
          <w:rFonts w:ascii="Calibri" w:cs="Calibri" w:eastAsia="Calibri" w:hAnsi="Calibri"/>
          <w:b w:val="false"/>
          <w:bCs w:val="false"/>
          <w:i/>
          <w:iCs/>
          <w:color w:val="1C1915"/>
          <w:sz w:val="26"/>
          <w:szCs w:val="26"/>
        </w:rPr>
        <w:t xml:space="preserve">Policy Wording</w:t>
      </w:r>
    </w:p>
    <w:p>
      <w:pPr>
        <w:spacing w:after="400"/>
      </w:pPr>
    </w:p>
    <w:p>
      <w:pPr>
        <w:spacing w:after="80" w:before="80"/>
        <w:jc w:val="center"/>
      </w:pPr>
      <w:r>
        <w:rPr>
          <w:rFonts w:ascii="Calibri" w:cs="Calibri" w:eastAsia="Calibri" w:hAnsi="Calibri"/>
          <w:b/>
          <w:bCs/>
          <w:i w:val="false"/>
          <w:iCs w:val="false"/>
          <w:color w:val="1C1915"/>
          <w:sz w:val="24"/>
          <w:szCs w:val="24"/>
        </w:rPr>
        <w:t xml:space="preserve">Meridian Commons — Open Source Insurance Wording</w:t>
      </w:r>
    </w:p>
    <w:p>
      <w:pPr>
        <w:spacing w:after="80" w:before="80"/>
        <w:jc w:val="center"/>
      </w:pPr>
      <w:r>
        <w:rPr>
          <w:rFonts w:ascii="Calibri" w:cs="Calibri" w:eastAsia="Calibri" w:hAnsi="Calibri"/>
          <w:b w:val="false"/>
          <w:bCs w:val="false"/>
          <w:i w:val="false"/>
          <w:iCs w:val="false"/>
          <w:color w:val="1C1915"/>
          <w:sz w:val="24"/>
          <w:szCs w:val="24"/>
        </w:rPr>
        <w:t xml:space="preserve">v1.2.0-DRAFT · July 2026 · Creative Commons BY 4.0</w:t>
      </w:r>
    </w:p>
    <w:p>
      <w:pPr>
        <w:spacing w:after="80" w:before="80"/>
        <w:jc w:val="center"/>
      </w:pPr>
      <w:r>
        <w:rPr>
          <w:rFonts w:ascii="Calibri" w:cs="Calibri" w:eastAsia="Calibri" w:hAnsi="Calibri"/>
          <w:b w:val="false"/>
          <w:bCs w:val="false"/>
          <w:i w:val="false"/>
          <w:iCs w:val="false"/>
          <w:color w:val="1C1915"/>
          <w:sz w:val="24"/>
          <w:szCs w:val="24"/>
        </w:rPr>
        <w:t xml:space="preserve">Document ref: 2026/SADO/0001 · Cuttleflow Systems Pty Ltd</w:t>
      </w:r>
    </w:p>
    <w:p>
      <w:pPr>
        <w:pBdr>
          <w:top w:val="single" w:color="C24E2C" w:sz="12"/>
          <w:bottom w:val="single" w:color="C24E2C" w:sz="12"/>
        </w:pBdr>
        <w:spacing w:after="300" w:before="300"/>
        <w:jc w:val="center"/>
      </w:pPr>
      <w:r>
        <w:rPr>
          <w:rFonts w:ascii="Calibri" w:cs="Calibri" w:eastAsia="Calibri" w:hAnsi="Calibri"/>
          <w:b/>
          <w:bCs/>
          <w:color w:val="1C1915"/>
          <w:sz w:val="24"/>
          <w:szCs w:val="24"/>
        </w:rPr>
        <w:t xml:space="preserve">DRAFT — SUBJECT TO LEGAL REVIEW — NOT FOR USE</w:t>
      </w:r>
    </w:p>
    <w:p>
      <w:pPr>
        <w:pStyle w:val="Heading1"/>
        <w:pageBreakBefore/>
        <w:pBdr>
          <w:bottom w:val="single" w:color="E2D9C8" w:sz="6"/>
        </w:pBdr>
        <w:spacing w:after="160" w:before="360"/>
      </w:pPr>
      <w:r>
        <w:rPr>
          <w:rFonts w:ascii="Calibri" w:cs="Calibri" w:eastAsia="Calibri" w:hAnsi="Calibri"/>
          <w:b/>
          <w:bCs/>
          <w:color w:val="1C1915"/>
          <w:sz w:val="30"/>
          <w:szCs w:val="30"/>
        </w:rPr>
        <w:t xml:space="preserve">Changes From v1.1.0</w:t>
      </w:r>
    </w:p>
    <w:p>
      <w:pPr>
        <w:spacing w:after="160"/>
        <w:jc w:val="both"/>
      </w:pPr>
      <w:r>
        <w:rPr>
          <w:rFonts w:ascii="Calibri" w:cs="Calibri" w:eastAsia="Calibri" w:hAnsi="Calibri"/>
          <w:i w:val="false"/>
          <w:iCs w:val="false"/>
          <w:sz w:val="21"/>
          <w:szCs w:val="21"/>
        </w:rPr>
        <w:t xml:space="preserve">Provenance remediation (PROV-CMN-002); drafting-only, legal effect preserved. The Sanctions clause (4.11) was reworded to remove the LMA-derived sanctions-triplet formulation. The clause's existing regime scope is unchanged.</w:t>
      </w:r>
    </w:p>
    <w:p/>
    <w:p>
      <w:pPr>
        <w:pStyle w:val="Heading1"/>
        <w:pageBreakBefore/>
        <w:pBdr>
          <w:bottom w:val="single" w:color="E2D9C8" w:sz="6"/>
        </w:pBdr>
        <w:spacing w:after="160" w:before="360"/>
      </w:pPr>
      <w:r>
        <w:rPr>
          <w:rFonts w:ascii="Calibri" w:cs="Calibri" w:eastAsia="Calibri" w:hAnsi="Calibri"/>
          <w:b/>
          <w:bCs/>
          <w:color w:val="1C1915"/>
          <w:sz w:val="30"/>
          <w:szCs w:val="30"/>
        </w:rPr>
        <w:t xml:space="preserve">Changes From v1.0.0</w:t>
      </w:r>
    </w:p>
    <w:p>
      <w:pPr>
        <w:spacing w:after="160"/>
        <w:jc w:val="both"/>
      </w:pPr>
      <w:r>
        <w:rPr>
          <w:rFonts w:ascii="Calibri" w:cs="Calibri" w:eastAsia="Calibri" w:hAnsi="Calibri"/>
          <w:i w:val="false"/>
          <w:iCs w:val="false"/>
          <w:sz w:val="21"/>
          <w:szCs w:val="21"/>
        </w:rPr>
        <w:t xml:space="preserve">This v1.1.0-DRAFT release remediates the findings of the 2026 pre-publication audit of v1.0.0 (Doc ref 2026/SADO/0001). Every Critical and Major finding is remediated below; Minor and Polish findings are remediated where they could be resolved by drafting alone. A full clause-by-clause change register accompanies this document (SideA_change_register_v1_1_0.md). This document remains </w:t>
      </w:r>
      <w:r>
        <w:rPr>
          <w:rFonts w:ascii="Calibri" w:cs="Calibri" w:eastAsia="Calibri" w:hAnsi="Calibri"/>
          <w:b/>
          <w:bCs/>
          <w:i w:val="false"/>
          <w:iCs w:val="false"/>
          <w:sz w:val="21"/>
          <w:szCs w:val="21"/>
        </w:rPr>
        <w:t xml:space="preserve">DRAFT — SUBJECT TO LEGAL REVIEW</w:t>
      </w:r>
      <w:r>
        <w:rPr>
          <w:rFonts w:ascii="Calibri" w:cs="Calibri" w:eastAsia="Calibri" w:hAnsi="Calibri"/>
          <w:i w:val="false"/>
          <w:iCs w:val="false"/>
          <w:sz w:val="21"/>
          <w:szCs w:val="21"/>
        </w:rPr>
        <w:t xml:space="preserve"> pending Wording Partner sign-off; open judgement calls are recorded for the Wording Partner.</w:t>
      </w:r>
      <w:r>
        <w:rPr>
          <w:rFonts w:ascii="Calibri" w:cs="Calibri" w:eastAsia="Calibri" w:hAnsi="Calibri"/>
          <w:b/>
          <w:bCs/>
          <w:i w:val="false"/>
          <w:iCs w:val="false"/>
          <w:sz w:val="21"/>
          <w:szCs w:val="21"/>
        </w:rPr>
        <w:t xml:space="preserve"/>
      </w:r>
      <w:r>
        <w:rPr>
          <w:rFonts w:ascii="Calibri" w:cs="Calibri" w:eastAsia="Calibri" w:hAnsi="Calibri"/>
          <w:i w:val="false"/>
          <w:iCs w:val="false"/>
          <w:sz w:val="21"/>
          <w:szCs w:val="21"/>
        </w:rPr>
        <w:t xml:space="preserve"/>
      </w:r>
    </w:p>
    <w:p>
      <w:pPr>
        <w:pStyle w:val="Heading2"/>
        <w:spacing w:after="100" w:before="240"/>
      </w:pPr>
      <w:r>
        <w:rPr>
          <w:rFonts w:ascii="Calibri" w:cs="Calibri" w:eastAsia="Calibri" w:hAnsi="Calibri"/>
          <w:b/>
          <w:bCs/>
          <w:color w:val="1C1915"/>
          <w:sz w:val="24"/>
          <w:szCs w:val="24"/>
        </w:rPr>
        <w:t xml:space="preserve">Critical</w:t>
      </w:r>
    </w:p>
    <w:p>
      <w:pPr>
        <w:spacing w:after="160"/>
        <w:jc w:val="both"/>
      </w:pPr>
      <w:r>
        <w:rPr>
          <w:rFonts w:ascii="Calibri" w:cs="Calibri" w:eastAsia="Calibri" w:hAnsi="Calibri"/>
          <w:b/>
          <w:bCs/>
          <w:i w:val="false"/>
          <w:iCs w:val="false"/>
          <w:sz w:val="21"/>
          <w:szCs w:val="21"/>
        </w:rPr>
        <w:t xml:space="preserve">C1 — DIC toggle contradiction resolved.</w:t>
      </w:r>
      <w:r>
        <w:rPr>
          <w:rFonts w:ascii="Calibri" w:cs="Calibri" w:eastAsia="Calibri" w:hAnsi="Calibri"/>
          <w:i w:val="false"/>
          <w:iCs w:val="false"/>
          <w:sz w:val="21"/>
          <w:szCs w:val="21"/>
        </w:rPr>
        <w:t xml:space="preserve"> Deleted the Schedule's "whether the DIC cover is operative" toggle. DIC drop-down (Section 2.3) is now stated as an unconditional, core feature of the policy. The Schedule retains only a field for specified/broadened DIC triggers tied to Endorsement E07, plus a new DIC self-insured retention field.</w:t>
      </w:r>
    </w:p>
    <w:p>
      <w:pPr>
        <w:spacing w:after="160"/>
        <w:jc w:val="both"/>
      </w:pPr>
      <w:r>
        <w:rPr>
          <w:rFonts w:ascii="Calibri" w:cs="Calibri" w:eastAsia="Calibri" w:hAnsi="Calibri"/>
          <w:b/>
          <w:bCs/>
          <w:i w:val="false"/>
          <w:iCs w:val="false"/>
          <w:sz w:val="21"/>
          <w:szCs w:val="21"/>
        </w:rPr>
        <w:t xml:space="preserve">C2 — Retroactive date machinery added.</w:t>
      </w:r>
      <w:r>
        <w:rPr>
          <w:rFonts w:ascii="Calibri" w:cs="Calibri" w:eastAsia="Calibri" w:hAnsi="Calibri"/>
          <w:i w:val="false"/>
          <w:iCs w:val="false"/>
          <w:sz w:val="21"/>
          <w:szCs w:val="21"/>
        </w:rPr>
        <w:t xml:space="preserve"> New defined term </w:t>
      </w:r>
      <w:r>
        <w:rPr>
          <w:rFonts w:ascii="Calibri" w:cs="Calibri" w:eastAsia="Calibri" w:hAnsi="Calibri"/>
          <w:b/>
          <w:bCs/>
          <w:i w:val="false"/>
          <w:iCs w:val="false"/>
          <w:sz w:val="21"/>
          <w:szCs w:val="21"/>
        </w:rPr>
        <w:t xml:space="preserve">Retroactive date</w:t>
      </w:r>
      <w:r>
        <w:rPr>
          <w:rFonts w:ascii="Calibri" w:cs="Calibri" w:eastAsia="Calibri" w:hAnsi="Calibri"/>
          <w:i w:val="false"/>
          <w:iCs w:val="false"/>
          <w:sz w:val="21"/>
          <w:szCs w:val="21"/>
        </w:rPr>
        <w:t xml:space="preserve"> and Schedule field; new objective </w:t>
      </w:r>
      <w:r>
        <w:rPr>
          <w:rFonts w:ascii="Calibri" w:cs="Calibri" w:eastAsia="Calibri" w:hAnsi="Calibri"/>
          <w:b/>
          <w:bCs/>
          <w:i w:val="false"/>
          <w:iCs w:val="false"/>
          <w:sz w:val="21"/>
          <w:szCs w:val="21"/>
        </w:rPr>
        <w:t xml:space="preserve">Prior and Pending Litigation</w:t>
      </w:r>
      <w:r>
        <w:rPr>
          <w:rFonts w:ascii="Calibri" w:cs="Calibri" w:eastAsia="Calibri" w:hAnsi="Calibri"/>
          <w:i w:val="false"/>
          <w:iCs w:val="false"/>
          <w:sz w:val="21"/>
          <w:szCs w:val="21"/>
        </w:rPr>
        <w:t xml:space="preserve"> exclusion (Section 4.6); deemed-date rule added to the </w:t>
      </w:r>
      <w:r>
        <w:rPr>
          <w:rFonts w:ascii="Calibri" w:cs="Calibri" w:eastAsia="Calibri" w:hAnsi="Calibri"/>
          <w:b/>
          <w:bCs/>
          <w:i w:val="false"/>
          <w:iCs w:val="false"/>
          <w:sz w:val="21"/>
          <w:szCs w:val="21"/>
        </w:rPr>
        <w:t xml:space="preserve">Claim</w:t>
      </w:r>
      <w:r>
        <w:rPr>
          <w:rFonts w:ascii="Calibri" w:cs="Calibri" w:eastAsia="Calibri" w:hAnsi="Calibri"/>
          <w:i w:val="false"/>
          <w:iCs w:val="false"/>
          <w:sz w:val="21"/>
          <w:szCs w:val="21"/>
        </w:rPr>
        <w:t xml:space="preserve"> definition for related wrongful acts spanning periods; retroactive date threaded into Sections 2.1, 2.2, and 2.3.</w:t>
      </w:r>
    </w:p>
    <w:p>
      <w:pPr>
        <w:spacing w:after="160"/>
        <w:jc w:val="both"/>
      </w:pPr>
      <w:r>
        <w:rPr>
          <w:rFonts w:ascii="Calibri" w:cs="Calibri" w:eastAsia="Calibri" w:hAnsi="Calibri"/>
          <w:b/>
          <w:bCs/>
          <w:i w:val="false"/>
          <w:iCs w:val="false"/>
          <w:sz w:val="21"/>
          <w:szCs w:val="21"/>
        </w:rPr>
        <w:t xml:space="preserve">C3 — Section 5.6 rewritten as Non-Avoidance (now 5.7).</w:t>
      </w:r>
      <w:r>
        <w:rPr>
          <w:rFonts w:ascii="Calibri" w:cs="Calibri" w:eastAsia="Calibri" w:hAnsi="Calibri"/>
          <w:i w:val="false"/>
          <w:iCs w:val="false"/>
          <w:sz w:val="21"/>
          <w:szCs w:val="21"/>
        </w:rPr>
        <w:t xml:space="preserve"> Replaced US-style avoidance vocabulary that did not map onto s 28 of the Insurance Contracts Act 1984 (Cth) with drafting anchored to that section; avoidance confined to personal fraudulent non-disclosure by the insured person seeking cover; the s 28(3) proportionate-reduction remedy is expressly waived against innocent insured persons.</w:t>
      </w:r>
    </w:p>
    <w:p>
      <w:pPr>
        <w:pStyle w:val="Heading2"/>
        <w:spacing w:after="100" w:before="240"/>
      </w:pPr>
      <w:r>
        <w:rPr>
          <w:rFonts w:ascii="Calibri" w:cs="Calibri" w:eastAsia="Calibri" w:hAnsi="Calibri"/>
          <w:b/>
          <w:bCs/>
          <w:color w:val="1C1915"/>
          <w:sz w:val="24"/>
          <w:szCs w:val="24"/>
        </w:rPr>
        <w:t xml:space="preserve">Major</w:t>
      </w:r>
    </w:p>
    <w:p>
      <w:pPr>
        <w:spacing w:after="160"/>
        <w:jc w:val="both"/>
      </w:pPr>
      <w:r>
        <w:rPr>
          <w:rFonts w:ascii="Calibri" w:cs="Calibri" w:eastAsia="Calibri" w:hAnsi="Calibri"/>
          <w:b/>
          <w:bCs/>
          <w:i w:val="false"/>
          <w:iCs w:val="false"/>
          <w:sz w:val="21"/>
          <w:szCs w:val="21"/>
        </w:rPr>
        <w:t xml:space="preserve">M1 —</w:t>
      </w:r>
      <w:r>
        <w:rPr>
          <w:rFonts w:ascii="Calibri" w:cs="Calibri" w:eastAsia="Calibri" w:hAnsi="Calibri"/>
          <w:i w:val="false"/>
          <w:iCs w:val="false"/>
          <w:sz w:val="21"/>
          <w:szCs w:val="21"/>
        </w:rPr>
        <w:t xml:space="preserve"> New Section 2.6, </w:t>
      </w:r>
      <w:r>
        <w:rPr>
          <w:rFonts w:ascii="Calibri" w:cs="Calibri" w:eastAsia="Calibri" w:hAnsi="Calibri"/>
          <w:b/>
          <w:bCs/>
          <w:i w:val="false"/>
          <w:iCs w:val="false"/>
          <w:sz w:val="21"/>
          <w:szCs w:val="21"/>
        </w:rPr>
        <w:t xml:space="preserve">Presumptive Indemnification</w:t>
      </w:r>
      <w:r>
        <w:rPr>
          <w:rFonts w:ascii="Calibri" w:cs="Calibri" w:eastAsia="Calibri" w:hAnsi="Calibri"/>
          <w:i w:val="false"/>
          <w:iCs w:val="false"/>
          <w:sz w:val="21"/>
          <w:szCs w:val="21"/>
        </w:rPr>
        <w:t xml:space="preserve">: rebuttable presumption the company could and would indemnify, absent proof otherwise.</w:t>
      </w:r>
    </w:p>
    <w:p>
      <w:pPr>
        <w:spacing w:after="160"/>
        <w:jc w:val="both"/>
      </w:pPr>
      <w:r>
        <w:rPr>
          <w:rFonts w:ascii="Calibri" w:cs="Calibri" w:eastAsia="Calibri" w:hAnsi="Calibri"/>
          <w:b/>
          <w:bCs/>
          <w:i w:val="false"/>
          <w:iCs w:val="false"/>
          <w:sz w:val="21"/>
          <w:szCs w:val="21"/>
        </w:rPr>
        <w:t xml:space="preserve">M2 / M3 —</w:t>
      </w:r>
      <w:r>
        <w:rPr>
          <w:rFonts w:ascii="Calibri" w:cs="Calibri" w:eastAsia="Calibri" w:hAnsi="Calibri"/>
          <w:i w:val="false"/>
          <w:iCs w:val="false"/>
          <w:sz w:val="21"/>
          <w:szCs w:val="21"/>
        </w:rPr>
        <w:t xml:space="preserve"> New Section 7.8, </w:t>
      </w:r>
      <w:r>
        <w:rPr>
          <w:rFonts w:ascii="Calibri" w:cs="Calibri" w:eastAsia="Calibri" w:hAnsi="Calibri"/>
          <w:b/>
          <w:bCs/>
          <w:i w:val="false"/>
          <w:iCs w:val="false"/>
          <w:sz w:val="21"/>
          <w:szCs w:val="21"/>
        </w:rPr>
        <w:t xml:space="preserve">Insurance Contracts Act — Savings and No Contracting-Out</w:t>
      </w:r>
      <w:r>
        <w:rPr>
          <w:rFonts w:ascii="Calibri" w:cs="Calibri" w:eastAsia="Calibri" w:hAnsi="Calibri"/>
          <w:i w:val="false"/>
          <w:iCs w:val="false"/>
          <w:sz w:val="21"/>
          <w:szCs w:val="21"/>
        </w:rPr>
        <w:t xml:space="preserve">: general savings/no-contracting-out clause plus an express s 54 acknowledgement (post-claim acts reduce for proven prejudice only, not forfeit).</w:t>
      </w:r>
    </w:p>
    <w:p>
      <w:pPr>
        <w:spacing w:after="160"/>
        <w:jc w:val="both"/>
      </w:pPr>
      <w:r>
        <w:rPr>
          <w:rFonts w:ascii="Calibri" w:cs="Calibri" w:eastAsia="Calibri" w:hAnsi="Calibri"/>
          <w:b/>
          <w:bCs/>
          <w:i w:val="false"/>
          <w:iCs w:val="false"/>
          <w:sz w:val="21"/>
          <w:szCs w:val="21"/>
        </w:rPr>
        <w:t xml:space="preserve">M4 —</w:t>
      </w:r>
      <w:r>
        <w:rPr>
          <w:rFonts w:ascii="Calibri" w:cs="Calibri" w:eastAsia="Calibri" w:hAnsi="Calibri"/>
          <w:i w:val="false"/>
          <w:iCs w:val="false"/>
          <w:sz w:val="21"/>
          <w:szCs w:val="21"/>
        </w:rPr>
        <w:t xml:space="preserve"> Section 3.1 (Advancement of Defence Costs) now carries a second, parallel repayment trigger where the company later indemnifies the insured person for the same loss, closing the double-recovery gap.</w:t>
      </w:r>
    </w:p>
    <w:p>
      <w:pPr>
        <w:spacing w:after="160"/>
        <w:jc w:val="both"/>
      </w:pPr>
      <w:r>
        <w:rPr>
          <w:rFonts w:ascii="Calibri" w:cs="Calibri" w:eastAsia="Calibri" w:hAnsi="Calibri"/>
          <w:b/>
          <w:bCs/>
          <w:i w:val="false"/>
          <w:iCs w:val="false"/>
          <w:sz w:val="21"/>
          <w:szCs w:val="21"/>
        </w:rPr>
        <w:t xml:space="preserve">M5 —</w:t>
      </w:r>
      <w:r>
        <w:rPr>
          <w:rFonts w:ascii="Calibri" w:cs="Calibri" w:eastAsia="Calibri" w:hAnsi="Calibri"/>
          <w:i w:val="false"/>
          <w:iCs w:val="false"/>
          <w:sz w:val="21"/>
          <w:szCs w:val="21"/>
        </w:rPr>
        <w:t xml:space="preserve"> New Section 5.6, </w:t>
      </w:r>
      <w:r>
        <w:rPr>
          <w:rFonts w:ascii="Calibri" w:cs="Calibri" w:eastAsia="Calibri" w:hAnsi="Calibri"/>
          <w:b/>
          <w:bCs/>
          <w:i w:val="false"/>
          <w:iCs w:val="false"/>
          <w:sz w:val="21"/>
          <w:szCs w:val="21"/>
        </w:rPr>
        <w:t xml:space="preserve">Excess of Other DIC Insurance</w:t>
      </w:r>
      <w:r>
        <w:rPr>
          <w:rFonts w:ascii="Calibri" w:cs="Calibri" w:eastAsia="Calibri" w:hAnsi="Calibri"/>
          <w:i w:val="false"/>
          <w:iCs w:val="false"/>
          <w:sz w:val="21"/>
          <w:szCs w:val="21"/>
        </w:rPr>
        <w:t xml:space="preserve">: an express stacking/priority clause for towers with more than one Side-A/DIC layer, with a pro-rata tie-break for circularity.</w:t>
      </w:r>
    </w:p>
    <w:p>
      <w:pPr>
        <w:spacing w:after="160"/>
        <w:jc w:val="both"/>
      </w:pPr>
      <w:r>
        <w:rPr>
          <w:rFonts w:ascii="Calibri" w:cs="Calibri" w:eastAsia="Calibri" w:hAnsi="Calibri"/>
          <w:b/>
          <w:bCs/>
          <w:i w:val="false"/>
          <w:iCs w:val="false"/>
          <w:sz w:val="21"/>
          <w:szCs w:val="21"/>
        </w:rPr>
        <w:t xml:space="preserve">M6 / P2 —</w:t>
      </w:r>
      <w:r>
        <w:rPr>
          <w:rFonts w:ascii="Calibri" w:cs="Calibri" w:eastAsia="Calibri" w:hAnsi="Calibri"/>
          <w:i w:val="false"/>
          <w:iCs w:val="false"/>
          <w:sz w:val="21"/>
          <w:szCs w:val="21"/>
        </w:rPr>
        <w:t xml:space="preserve"> Sanctions provision separated from the war/terrorism exclusion (now Section 4.10) into its own standalone Section 4.11, naming the Autonomous Sanctions Act 2011 (Cth) and the Charter of the United Nations Act 1945 (Cth). Scope as to foreign (US/UK/EU) sanctions regimes is flagged </w:t>
      </w:r>
      <w:r>
        <w:rPr>
          <w:rFonts w:ascii="Calibri" w:cs="Calibri" w:eastAsia="Calibri" w:hAnsi="Calibri"/>
          <w:b/>
          <w:bCs/>
          <w:i w:val="false"/>
          <w:iCs w:val="false"/>
          <w:sz w:val="21"/>
          <w:szCs w:val="21"/>
        </w:rPr>
        <w:t xml:space="preserve"/>
      </w:r>
      <w:r>
        <w:rPr>
          <w:rFonts w:ascii="Calibri" w:cs="Calibri" w:eastAsia="Calibri" w:hAnsi="Calibri"/>
          <w:i w:val="false"/>
          <w:iCs w:val="false"/>
          <w:sz w:val="21"/>
          <w:szCs w:val="21"/>
        </w:rPr>
        <w:t xml:space="preserve"> as a deliberate capacity-dependent choice.</w:t>
      </w:r>
    </w:p>
    <w:p>
      <w:pPr>
        <w:pStyle w:val="Heading2"/>
        <w:spacing w:after="100" w:before="240"/>
      </w:pPr>
      <w:r>
        <w:rPr>
          <w:rFonts w:ascii="Calibri" w:cs="Calibri" w:eastAsia="Calibri" w:hAnsi="Calibri"/>
          <w:b/>
          <w:bCs/>
          <w:color w:val="1C1915"/>
          <w:sz w:val="24"/>
          <w:szCs w:val="24"/>
        </w:rPr>
        <w:t xml:space="preserve">Minor and Polish (resolved by drafting)</w:t>
      </w:r>
    </w:p>
    <w:p>
      <w:pPr>
        <w:spacing w:after="160"/>
        <w:jc w:val="both"/>
      </w:pPr>
      <w:r>
        <w:rPr>
          <w:rFonts w:ascii="Calibri" w:cs="Calibri" w:eastAsia="Calibri" w:hAnsi="Calibri"/>
          <w:b/>
          <w:bCs/>
          <w:i w:val="false"/>
          <w:iCs w:val="false"/>
          <w:sz w:val="21"/>
          <w:szCs w:val="21"/>
        </w:rPr>
        <w:t xml:space="preserve">N1 —</w:t>
      </w:r>
      <w:r>
        <w:rPr>
          <w:rFonts w:ascii="Calibri" w:cs="Calibri" w:eastAsia="Calibri" w:hAnsi="Calibri"/>
          <w:i w:val="false"/>
          <w:iCs w:val="false"/>
          <w:sz w:val="21"/>
          <w:szCs w:val="21"/>
        </w:rPr>
        <w:t xml:space="preserve"> New defined term </w:t>
      </w:r>
      <w:r>
        <w:rPr>
          <w:rFonts w:ascii="Calibri" w:cs="Calibri" w:eastAsia="Calibri" w:hAnsi="Calibri"/>
          <w:b/>
          <w:bCs/>
          <w:i w:val="false"/>
          <w:iCs w:val="false"/>
          <w:sz w:val="21"/>
          <w:szCs w:val="21"/>
        </w:rPr>
        <w:t xml:space="preserve">Final adjudication</w:t>
      </w:r>
      <w:r>
        <w:rPr>
          <w:rFonts w:ascii="Calibri" w:cs="Calibri" w:eastAsia="Calibri" w:hAnsi="Calibri"/>
          <w:i w:val="false"/>
          <w:iCs w:val="false"/>
          <w:sz w:val="21"/>
          <w:szCs w:val="21"/>
        </w:rPr>
        <w:t xml:space="preserve"> (Section 1) applied uniformly in Sections 4.2 and 4.3, removing the appeals-qualifier inconsistency.</w:t>
      </w:r>
    </w:p>
    <w:p>
      <w:pPr>
        <w:spacing w:after="160"/>
        <w:jc w:val="both"/>
      </w:pPr>
      <w:r>
        <w:rPr>
          <w:rFonts w:ascii="Calibri" w:cs="Calibri" w:eastAsia="Calibri" w:hAnsi="Calibri"/>
          <w:b/>
          <w:bCs/>
          <w:i w:val="false"/>
          <w:iCs w:val="false"/>
          <w:sz w:val="21"/>
          <w:szCs w:val="21"/>
        </w:rPr>
        <w:t xml:space="preserve">N2 —</w:t>
      </w:r>
      <w:r>
        <w:rPr>
          <w:rFonts w:ascii="Calibri" w:cs="Calibri" w:eastAsia="Calibri" w:hAnsi="Calibri"/>
          <w:i w:val="false"/>
          <w:iCs w:val="false"/>
          <w:sz w:val="21"/>
          <w:szCs w:val="21"/>
        </w:rPr>
        <w:t xml:space="preserve"> Section 3.4 now uses the defined term </w:t>
      </w:r>
      <w:r>
        <w:rPr>
          <w:rFonts w:ascii="Calibri" w:cs="Calibri" w:eastAsia="Calibri" w:hAnsi="Calibri"/>
          <w:b/>
          <w:bCs/>
          <w:i w:val="false"/>
          <w:iCs w:val="false"/>
          <w:sz w:val="21"/>
          <w:szCs w:val="21"/>
        </w:rPr>
        <w:t xml:space="preserve">Regulator</w:t>
      </w:r>
      <w:r>
        <w:rPr>
          <w:rFonts w:ascii="Calibri" w:cs="Calibri" w:eastAsia="Calibri" w:hAnsi="Calibri"/>
          <w:i w:val="false"/>
          <w:iCs w:val="false"/>
          <w:sz w:val="21"/>
          <w:szCs w:val="21"/>
        </w:rPr>
        <w:t xml:space="preserve"> instead of undefined prose.</w:t>
      </w:r>
    </w:p>
    <w:p>
      <w:pPr>
        <w:spacing w:after="160"/>
        <w:jc w:val="both"/>
      </w:pPr>
      <w:r>
        <w:rPr>
          <w:rFonts w:ascii="Calibri" w:cs="Calibri" w:eastAsia="Calibri" w:hAnsi="Calibri"/>
          <w:b/>
          <w:bCs/>
          <w:i w:val="false"/>
          <w:iCs w:val="false"/>
          <w:sz w:val="21"/>
          <w:szCs w:val="21"/>
        </w:rPr>
        <w:t xml:space="preserve">N3 —</w:t>
      </w:r>
      <w:r>
        <w:rPr>
          <w:rFonts w:ascii="Calibri" w:cs="Calibri" w:eastAsia="Calibri" w:hAnsi="Calibri"/>
          <w:i w:val="false"/>
          <w:iCs w:val="false"/>
          <w:sz w:val="21"/>
          <w:szCs w:val="21"/>
        </w:rPr>
        <w:t xml:space="preserve"> New Schedule field, DIC self-insured retention, reconciling the </w:t>
      </w:r>
      <w:r>
        <w:rPr>
          <w:rFonts w:ascii="Calibri" w:cs="Calibri" w:eastAsia="Calibri" w:hAnsi="Calibri"/>
          <w:b/>
          <w:bCs/>
          <w:i w:val="false"/>
          <w:iCs w:val="false"/>
          <w:sz w:val="21"/>
          <w:szCs w:val="21"/>
        </w:rPr>
        <w:t xml:space="preserve">Attachment point</w:t>
      </w:r>
      <w:r>
        <w:rPr>
          <w:rFonts w:ascii="Calibri" w:cs="Calibri" w:eastAsia="Calibri" w:hAnsi="Calibri"/>
          <w:i w:val="false"/>
          <w:iCs w:val="false"/>
          <w:sz w:val="21"/>
          <w:szCs w:val="21"/>
        </w:rPr>
        <w:t xml:space="preserve"> definition's two meanings.</w:t>
      </w:r>
    </w:p>
    <w:p>
      <w:pPr>
        <w:spacing w:after="160"/>
        <w:jc w:val="both"/>
      </w:pPr>
      <w:r>
        <w:rPr>
          <w:rFonts w:ascii="Calibri" w:cs="Calibri" w:eastAsia="Calibri" w:hAnsi="Calibri"/>
          <w:b/>
          <w:bCs/>
          <w:i w:val="false"/>
          <w:iCs w:val="false"/>
          <w:sz w:val="21"/>
          <w:szCs w:val="21"/>
        </w:rPr>
        <w:t xml:space="preserve">N4 —</w:t>
      </w:r>
      <w:r>
        <w:rPr>
          <w:rFonts w:ascii="Calibri" w:cs="Calibri" w:eastAsia="Calibri" w:hAnsi="Calibri"/>
          <w:i w:val="false"/>
          <w:iCs w:val="false"/>
          <w:sz w:val="21"/>
          <w:szCs w:val="21"/>
        </w:rPr>
        <w:t xml:space="preserve"> Section 7.5 now fixes governing law and jurisdiction to a Schedule field set at inception, plus an express submission-to-jurisdiction clause. This replaces the old formula that floated with wherever the company's business happened to be based at any given time.</w:t>
      </w:r>
    </w:p>
    <w:p>
      <w:pPr>
        <w:spacing w:after="160"/>
        <w:jc w:val="both"/>
      </w:pPr>
      <w:r>
        <w:rPr>
          <w:rFonts w:ascii="Calibri" w:cs="Calibri" w:eastAsia="Calibri" w:hAnsi="Calibri"/>
          <w:b/>
          <w:bCs/>
          <w:i w:val="false"/>
          <w:iCs w:val="false"/>
          <w:sz w:val="21"/>
          <w:szCs w:val="21"/>
        </w:rPr>
        <w:t xml:space="preserve">N5 —</w:t>
      </w:r>
      <w:r>
        <w:rPr>
          <w:rFonts w:ascii="Calibri" w:cs="Calibri" w:eastAsia="Calibri" w:hAnsi="Calibri"/>
          <w:i w:val="false"/>
          <w:iCs w:val="false"/>
          <w:sz w:val="21"/>
          <w:szCs w:val="21"/>
        </w:rPr>
        <w:t xml:space="preserve"> New defined terms </w:t>
      </w:r>
      <w:r>
        <w:rPr>
          <w:rFonts w:ascii="Calibri" w:cs="Calibri" w:eastAsia="Calibri" w:hAnsi="Calibri"/>
          <w:b/>
          <w:bCs/>
          <w:i w:val="false"/>
          <w:iCs w:val="false"/>
          <w:sz w:val="21"/>
          <w:szCs w:val="21"/>
        </w:rPr>
        <w:t xml:space="preserve">Whistleblower</w:t>
      </w:r>
      <w:r>
        <w:rPr>
          <w:rFonts w:ascii="Calibri" w:cs="Calibri" w:eastAsia="Calibri" w:hAnsi="Calibri"/>
          <w:i w:val="false"/>
          <w:iCs w:val="false"/>
          <w:sz w:val="21"/>
          <w:szCs w:val="21"/>
        </w:rPr>
        <w:t xml:space="preserve"> (Corporations Act 2001 (Cth) Pt 9.4AAA "eligible whistleblower") and </w:t>
      </w:r>
      <w:r>
        <w:rPr>
          <w:rFonts w:ascii="Calibri" w:cs="Calibri" w:eastAsia="Calibri" w:hAnsi="Calibri"/>
          <w:b/>
          <w:bCs/>
          <w:i w:val="false"/>
          <w:iCs w:val="false"/>
          <w:sz w:val="21"/>
          <w:szCs w:val="21"/>
        </w:rPr>
        <w:t xml:space="preserve">Independent third party</w:t>
      </w:r>
      <w:r>
        <w:rPr>
          <w:rFonts w:ascii="Calibri" w:cs="Calibri" w:eastAsia="Calibri" w:hAnsi="Calibri"/>
          <w:i w:val="false"/>
          <w:iCs w:val="false"/>
          <w:sz w:val="21"/>
          <w:szCs w:val="21"/>
        </w:rPr>
        <w:t xml:space="preserve">.</w:t>
      </w:r>
    </w:p>
    <w:p>
      <w:pPr>
        <w:spacing w:after="160"/>
        <w:jc w:val="both"/>
      </w:pPr>
      <w:r>
        <w:rPr>
          <w:rFonts w:ascii="Calibri" w:cs="Calibri" w:eastAsia="Calibri" w:hAnsi="Calibri"/>
          <w:b/>
          <w:bCs/>
          <w:i w:val="false"/>
          <w:iCs w:val="false"/>
          <w:sz w:val="21"/>
          <w:szCs w:val="21"/>
        </w:rPr>
        <w:t xml:space="preserve">N6 —</w:t>
      </w:r>
      <w:r>
        <w:rPr>
          <w:rFonts w:ascii="Calibri" w:cs="Calibri" w:eastAsia="Calibri" w:hAnsi="Calibri"/>
          <w:i w:val="false"/>
          <w:iCs w:val="false"/>
          <w:sz w:val="21"/>
          <w:szCs w:val="21"/>
        </w:rPr>
        <w:t xml:space="preserve"> Section 6.5 now states the consequence of breach (no cover reduction absent proven prejudice; no automatic DIC drop-down trigger absent an actual Section 2.3.1–2.3.5 event).</w:t>
      </w:r>
    </w:p>
    <w:p>
      <w:pPr>
        <w:spacing w:after="160"/>
        <w:jc w:val="both"/>
      </w:pPr>
      <w:r>
        <w:rPr>
          <w:rFonts w:ascii="Calibri" w:cs="Calibri" w:eastAsia="Calibri" w:hAnsi="Calibri"/>
          <w:b/>
          <w:bCs/>
          <w:i w:val="false"/>
          <w:iCs w:val="false"/>
          <w:sz w:val="21"/>
          <w:szCs w:val="21"/>
        </w:rPr>
        <w:t xml:space="preserve">N7 —</w:t>
      </w:r>
      <w:r>
        <w:rPr>
          <w:rFonts w:ascii="Calibri" w:cs="Calibri" w:eastAsia="Calibri" w:hAnsi="Calibri"/>
          <w:i w:val="false"/>
          <w:iCs w:val="false"/>
          <w:sz w:val="21"/>
          <w:szCs w:val="21"/>
        </w:rPr>
        <w:t xml:space="preserve"> The </w:t>
      </w:r>
      <w:r>
        <w:rPr>
          <w:rFonts w:ascii="Calibri" w:cs="Calibri" w:eastAsia="Calibri" w:hAnsi="Calibri"/>
          <w:b/>
          <w:bCs/>
          <w:i w:val="false"/>
          <w:iCs w:val="false"/>
          <w:sz w:val="21"/>
          <w:szCs w:val="21"/>
        </w:rPr>
        <w:t xml:space="preserve">Loss</w:t>
      </w:r>
      <w:r>
        <w:rPr>
          <w:rFonts w:ascii="Calibri" w:cs="Calibri" w:eastAsia="Calibri" w:hAnsi="Calibri"/>
          <w:i w:val="false"/>
          <w:iCs w:val="false"/>
          <w:sz w:val="21"/>
          <w:szCs w:val="21"/>
        </w:rPr>
        <w:t xml:space="preserve"> definition's uninsurable fines/penalties carve-out now cross-references section 199B of the Corporations Act 2001 (Cth) alongside the existing section 199A citation in </w:t>
      </w:r>
      <w:r>
        <w:rPr>
          <w:rFonts w:ascii="Calibri" w:cs="Calibri" w:eastAsia="Calibri" w:hAnsi="Calibri"/>
          <w:b/>
          <w:bCs/>
          <w:i w:val="false"/>
          <w:iCs w:val="false"/>
          <w:sz w:val="21"/>
          <w:szCs w:val="21"/>
        </w:rPr>
        <w:t xml:space="preserve">Non-indemnifiable loss</w:t>
      </w:r>
      <w:r>
        <w:rPr>
          <w:rFonts w:ascii="Calibri" w:cs="Calibri" w:eastAsia="Calibri" w:hAnsi="Calibri"/>
          <w:i w:val="false"/>
          <w:iCs w:val="false"/>
          <w:sz w:val="21"/>
          <w:szCs w:val="21"/>
        </w:rPr>
        <w:t xml:space="preserve">.</w:t>
      </w:r>
    </w:p>
    <w:p>
      <w:pPr>
        <w:spacing w:after="160"/>
        <w:jc w:val="both"/>
      </w:pPr>
      <w:r>
        <w:rPr>
          <w:rFonts w:ascii="Calibri" w:cs="Calibri" w:eastAsia="Calibri" w:hAnsi="Calibri"/>
          <w:b/>
          <w:bCs/>
          <w:i w:val="false"/>
          <w:iCs w:val="false"/>
          <w:sz w:val="21"/>
          <w:szCs w:val="21"/>
        </w:rPr>
        <w:t xml:space="preserve">P1 —</w:t>
      </w:r>
      <w:r>
        <w:rPr>
          <w:rFonts w:ascii="Calibri" w:cs="Calibri" w:eastAsia="Calibri" w:hAnsi="Calibri"/>
          <w:i w:val="false"/>
          <w:iCs w:val="false"/>
          <w:sz w:val="21"/>
          <w:szCs w:val="21"/>
        </w:rPr>
        <w:t xml:space="preserve"> Section 6.2 now cites s 40(3) of the Insurance Contracts Act 1984 (Cth) expressly.</w:t>
      </w:r>
    </w:p>
    <w:p>
      <w:pPr>
        <w:spacing w:after="160"/>
        <w:jc w:val="both"/>
      </w:pPr>
      <w:r>
        <w:rPr>
          <w:rFonts w:ascii="Calibri" w:cs="Calibri" w:eastAsia="Calibri" w:hAnsi="Calibri"/>
          <w:b/>
          <w:bCs/>
          <w:i w:val="false"/>
          <w:iCs w:val="false"/>
          <w:sz w:val="21"/>
          <w:szCs w:val="21"/>
        </w:rPr>
        <w:t xml:space="preserve">P3 — not remediated (coverage-position, not drafting).</w:t>
      </w:r>
      <w:r>
        <w:rPr>
          <w:rFonts w:ascii="Calibri" w:cs="Calibri" w:eastAsia="Calibri" w:hAnsi="Calibri"/>
          <w:i w:val="false"/>
          <w:iCs w:val="false"/>
          <w:sz w:val="21"/>
          <w:szCs w:val="21"/>
        </w:rPr>
        <w:t xml:space="preserve"> The audit's benchmark observation that lifetime run-off is increasingly offered as a standard base feature is a pricing/appetite decision for the underwriter, not a drafting fix; Section 3.2 now cross-refers to Endorsement E06 for context but the base 72-month run-off is unchanged. Flagged for underwriting review.</w:t>
      </w:r>
    </w:p>
    <w:p>
      <w:pPr>
        <w:spacing w:after="160"/>
        <w:jc w:val="both"/>
      </w:pPr>
      <w:r>
        <w:rPr>
          <w:rFonts w:ascii="Calibri" w:cs="Calibri" w:eastAsia="Calibri" w:hAnsi="Calibri"/>
          <w:b/>
          <w:bCs/>
          <w:i w:val="false"/>
          <w:iCs w:val="false"/>
          <w:sz w:val="21"/>
          <w:szCs w:val="21"/>
        </w:rPr>
        <w:t xml:space="preserve">P4 —</w:t>
      </w:r>
      <w:r>
        <w:rPr>
          <w:rFonts w:ascii="Calibri" w:cs="Calibri" w:eastAsia="Calibri" w:hAnsi="Calibri"/>
          <w:i w:val="false"/>
          <w:iCs w:val="false"/>
          <w:sz w:val="21"/>
          <w:szCs w:val="21"/>
        </w:rPr>
        <w:t xml:space="preserve"> This section is the version-history block the audit recommended; retained and extended on every future release.</w:t>
      </w:r>
    </w:p>
    <w:p/>
    <w:p>
      <w:pPr>
        <w:pStyle w:val="Heading1"/>
        <w:pageBreakBefore/>
        <w:pBdr>
          <w:bottom w:val="single" w:color="E2D9C8" w:sz="6"/>
        </w:pBdr>
        <w:spacing w:after="160" w:before="360"/>
      </w:pPr>
      <w:r>
        <w:rPr>
          <w:rFonts w:ascii="Calibri" w:cs="Calibri" w:eastAsia="Calibri" w:hAnsi="Calibri"/>
          <w:b/>
          <w:bCs/>
          <w:color w:val="1C1915"/>
          <w:sz w:val="30"/>
          <w:szCs w:val="30"/>
        </w:rPr>
        <w:t xml:space="preserve">About This Policy</w:t>
      </w:r>
    </w:p>
    <w:p>
      <w:pPr>
        <w:spacing w:after="160"/>
        <w:jc w:val="both"/>
      </w:pPr>
      <w:r>
        <w:rPr>
          <w:rFonts w:ascii="Calibri" w:cs="Calibri" w:eastAsia="Calibri" w:hAnsi="Calibri"/>
          <w:i w:val="false"/>
          <w:iCs w:val="false"/>
          <w:sz w:val="21"/>
          <w:szCs w:val="21"/>
        </w:rPr>
        <w:t xml:space="preserve">It covers the personal liability of directors and officers for losses that their company cannot or will not indemnify — and it responds when the company's primary D&amp;O or management liability insurance is insufficient, unavailable, or does not cover the loss.</w:t>
      </w:r>
    </w:p>
    <w:p>
      <w:pPr>
        <w:spacing w:after="160"/>
        <w:jc w:val="both"/>
      </w:pPr>
      <w:r>
        <w:rPr>
          <w:rFonts w:ascii="Calibri" w:cs="Calibri" w:eastAsia="Calibri" w:hAnsi="Calibri"/>
          <w:i w:val="false"/>
          <w:iCs w:val="false"/>
          <w:sz w:val="21"/>
          <w:szCs w:val="21"/>
        </w:rPr>
        <w:t xml:space="preserve">This is sometimes called "Side A" cover because it protects only the individuals, not the company. It is also a "Difference in Conditions" (DIC) policy because it can respond even when the underlying policy does not — filling gaps that arise from insolvency, coverage disputes, or narrower terms in the primary policy. DIC drop-down cover is a core, unconditional feature of this policy — see Section 2.3.</w:t>
      </w:r>
    </w:p>
    <w:p>
      <w:pPr>
        <w:spacing w:after="160"/>
        <w:jc w:val="both"/>
      </w:pPr>
      <w:r>
        <w:rPr>
          <w:rFonts w:ascii="Calibri" w:cs="Calibri" w:eastAsia="Calibri" w:hAnsi="Calibri"/>
          <w:i w:val="false"/>
          <w:iCs w:val="false"/>
          <w:sz w:val="21"/>
          <w:szCs w:val="21"/>
        </w:rPr>
        <w:t xml:space="preserve">Who this policy is for: Directors and officers of companies that face significant personal exposure — particularly where the company may be unable to indemnify them (for example, due to insolvency, statutory prohibition, or constitutional restriction).</w:t>
      </w:r>
    </w:p>
    <w:p>
      <w:pPr>
        <w:spacing w:after="160"/>
        <w:jc w:val="both"/>
      </w:pPr>
      <w:r>
        <w:rPr>
          <w:rFonts w:ascii="Calibri" w:cs="Calibri" w:eastAsia="Calibri" w:hAnsi="Calibri"/>
          <w:i w:val="false"/>
          <w:iCs w:val="false"/>
          <w:sz w:val="21"/>
          <w:szCs w:val="21"/>
        </w:rPr>
        <w:t xml:space="preserve">This policy, together with your schedule and any endorsements, forms your contract of insurance with us. Words shown in </w:t>
      </w:r>
      <w:r>
        <w:rPr>
          <w:rFonts w:ascii="Calibri" w:cs="Calibri" w:eastAsia="Calibri" w:hAnsi="Calibri"/>
          <w:b/>
          <w:bCs/>
          <w:i w:val="false"/>
          <w:iCs w:val="false"/>
          <w:sz w:val="21"/>
          <w:szCs w:val="21"/>
        </w:rPr>
        <w:t xml:space="preserve">bold</w:t>
      </w:r>
      <w:r>
        <w:rPr>
          <w:rFonts w:ascii="Calibri" w:cs="Calibri" w:eastAsia="Calibri" w:hAnsi="Calibri"/>
          <w:i w:val="false"/>
          <w:iCs w:val="false"/>
          <w:sz w:val="21"/>
          <w:szCs w:val="21"/>
        </w:rPr>
        <w:t xml:space="preserve"> have special meanings — you will find their definitions in Section 1.</w:t>
      </w:r>
    </w:p>
    <w:p>
      <w:pPr>
        <w:spacing w:after="160"/>
        <w:jc w:val="both"/>
      </w:pPr>
      <w:r>
        <w:rPr>
          <w:rFonts w:ascii="Calibri" w:cs="Calibri" w:eastAsia="Calibri" w:hAnsi="Calibri"/>
          <w:i w:val="false"/>
          <w:iCs w:val="false"/>
          <w:sz w:val="21"/>
          <w:szCs w:val="21"/>
        </w:rPr>
        <w:t xml:space="preserve">Before this policy was entered into, you were given written notice, as required by s 40(1) of the Insurance Contracts Act 1984 (Cth), of the effect of s 40(3) (see Section 6.2 of this policy).</w:t>
      </w:r>
    </w:p>
    <w:p>
      <w:pPr>
        <w:pStyle w:val="Heading1"/>
        <w:pBdr>
          <w:bottom w:val="single" w:color="E2D9C8" w:sz="6"/>
        </w:pBdr>
        <w:spacing w:after="160" w:before="360"/>
      </w:pPr>
      <w:r>
        <w:rPr>
          <w:rFonts w:ascii="Calibri" w:cs="Calibri" w:eastAsia="Calibri" w:hAnsi="Calibri"/>
          <w:b/>
          <w:bCs/>
          <w:color w:val="1C1915"/>
          <w:sz w:val="30"/>
          <w:szCs w:val="30"/>
        </w:rPr>
        <w:t xml:space="preserve">Schedule</w:t>
      </w:r>
    </w:p>
    <w:p>
      <w:pPr>
        <w:spacing w:after="160"/>
        <w:jc w:val="both"/>
      </w:pPr>
      <w:r>
        <w:rPr>
          <w:rFonts w:ascii="Calibri" w:cs="Calibri" w:eastAsia="Calibri" w:hAnsi="Calibri"/>
          <w:i w:val="false"/>
          <w:iCs w:val="false"/>
          <w:sz w:val="21"/>
          <w:szCs w:val="21"/>
        </w:rPr>
        <w:t xml:space="preserve">(Completed separately for each policy — contains your specific details)</w:t>
      </w:r>
    </w:p>
    <w:p>
      <w:pPr>
        <w:pStyle w:val="ListParagraph"/>
        <w:numPr>
          <w:ilvl w:val="0"/>
          <w:numId w:val="2"/>
        </w:numPr>
        <w:spacing w:after="80"/>
      </w:pPr>
      <w:r>
        <w:rPr>
          <w:rFonts w:ascii="Calibri" w:cs="Calibri" w:eastAsia="Calibri" w:hAnsi="Calibri"/>
          <w:i w:val="false"/>
          <w:iCs w:val="false"/>
          <w:sz w:val="21"/>
          <w:szCs w:val="21"/>
        </w:rPr>
        <w:t xml:space="preserve">The company and its directors and officers</w:t>
      </w:r>
    </w:p>
    <w:p>
      <w:pPr>
        <w:pStyle w:val="ListParagraph"/>
        <w:numPr>
          <w:ilvl w:val="0"/>
          <w:numId w:val="2"/>
        </w:numPr>
        <w:spacing w:after="80"/>
      </w:pPr>
      <w:r>
        <w:rPr>
          <w:rFonts w:ascii="Calibri" w:cs="Calibri" w:eastAsia="Calibri" w:hAnsi="Calibri"/>
          <w:i w:val="false"/>
          <w:iCs w:val="false"/>
          <w:sz w:val="21"/>
          <w:szCs w:val="21"/>
        </w:rPr>
        <w:t xml:space="preserve">The policy period</w:t>
      </w:r>
    </w:p>
    <w:p>
      <w:pPr>
        <w:pStyle w:val="ListParagraph"/>
        <w:numPr>
          <w:ilvl w:val="0"/>
          <w:numId w:val="2"/>
        </w:numPr>
        <w:spacing w:after="80"/>
      </w:pPr>
      <w:r>
        <w:rPr>
          <w:rFonts w:ascii="Calibri" w:cs="Calibri" w:eastAsia="Calibri" w:hAnsi="Calibri"/>
          <w:i w:val="false"/>
          <w:iCs w:val="false"/>
          <w:sz w:val="21"/>
          <w:szCs w:val="21"/>
        </w:rPr>
        <w:t xml:space="preserve">The retroactive date</w:t>
      </w:r>
    </w:p>
    <w:p>
      <w:pPr>
        <w:pStyle w:val="ListParagraph"/>
        <w:numPr>
          <w:ilvl w:val="0"/>
          <w:numId w:val="2"/>
        </w:numPr>
        <w:spacing w:after="80"/>
      </w:pPr>
      <w:r>
        <w:rPr>
          <w:rFonts w:ascii="Calibri" w:cs="Calibri" w:eastAsia="Calibri" w:hAnsi="Calibri"/>
          <w:i w:val="false"/>
          <w:iCs w:val="false"/>
          <w:sz w:val="21"/>
          <w:szCs w:val="21"/>
        </w:rPr>
        <w:t xml:space="preserve">The underlying D&amp;O insurance (primary policy details)</w:t>
      </w:r>
    </w:p>
    <w:p>
      <w:pPr>
        <w:pStyle w:val="ListParagraph"/>
        <w:numPr>
          <w:ilvl w:val="0"/>
          <w:numId w:val="2"/>
        </w:numPr>
        <w:spacing w:after="80"/>
      </w:pPr>
      <w:r>
        <w:rPr>
          <w:rFonts w:ascii="Calibri" w:cs="Calibri" w:eastAsia="Calibri" w:hAnsi="Calibri"/>
          <w:i w:val="false"/>
          <w:iCs w:val="false"/>
          <w:sz w:val="21"/>
          <w:szCs w:val="21"/>
        </w:rPr>
        <w:t xml:space="preserve">The attachment point (normally the limit of the underlying D&amp;O insurance)</w:t>
      </w:r>
    </w:p>
    <w:p>
      <w:pPr>
        <w:pStyle w:val="ListParagraph"/>
        <w:numPr>
          <w:ilvl w:val="0"/>
          <w:numId w:val="2"/>
        </w:numPr>
        <w:spacing w:after="80"/>
      </w:pPr>
      <w:r>
        <w:rPr>
          <w:rFonts w:ascii="Calibri" w:cs="Calibri" w:eastAsia="Calibri" w:hAnsi="Calibri"/>
          <w:i w:val="false"/>
          <w:iCs w:val="false"/>
          <w:sz w:val="21"/>
          <w:szCs w:val="21"/>
        </w:rPr>
        <w:t xml:space="preserve">The DIC self-insured retention (if any — may be nil for ground-up cover)</w:t>
      </w:r>
    </w:p>
    <w:p>
      <w:pPr>
        <w:pStyle w:val="ListParagraph"/>
        <w:numPr>
          <w:ilvl w:val="0"/>
          <w:numId w:val="2"/>
        </w:numPr>
        <w:spacing w:after="80"/>
      </w:pPr>
      <w:r>
        <w:rPr>
          <w:rFonts w:ascii="Calibri" w:cs="Calibri" w:eastAsia="Calibri" w:hAnsi="Calibri"/>
          <w:i w:val="false"/>
          <w:iCs w:val="false"/>
          <w:sz w:val="21"/>
          <w:szCs w:val="21"/>
        </w:rPr>
        <w:t xml:space="preserve">Any specified or broadened DIC triggers (see Endorsement E07)</w:t>
      </w:r>
    </w:p>
    <w:p>
      <w:pPr>
        <w:pStyle w:val="ListParagraph"/>
        <w:numPr>
          <w:ilvl w:val="0"/>
          <w:numId w:val="2"/>
        </w:numPr>
        <w:spacing w:after="80"/>
      </w:pPr>
      <w:r>
        <w:rPr>
          <w:rFonts w:ascii="Calibri" w:cs="Calibri" w:eastAsia="Calibri" w:hAnsi="Calibri"/>
          <w:i w:val="false"/>
          <w:iCs w:val="false"/>
          <w:sz w:val="21"/>
          <w:szCs w:val="21"/>
        </w:rPr>
        <w:t xml:space="preserve">The limit of liability of this policy</w:t>
      </w:r>
    </w:p>
    <w:p>
      <w:pPr>
        <w:pStyle w:val="ListParagraph"/>
        <w:numPr>
          <w:ilvl w:val="0"/>
          <w:numId w:val="2"/>
        </w:numPr>
        <w:spacing w:after="80"/>
      </w:pPr>
      <w:r>
        <w:rPr>
          <w:rFonts w:ascii="Calibri" w:cs="Calibri" w:eastAsia="Calibri" w:hAnsi="Calibri"/>
          <w:i w:val="false"/>
          <w:iCs w:val="false"/>
          <w:sz w:val="21"/>
          <w:szCs w:val="21"/>
        </w:rPr>
        <w:t xml:space="preserve">Governing law and jurisdiction (the Australian state or territory)</w:t>
      </w:r>
    </w:p>
    <w:p>
      <w:pPr>
        <w:pStyle w:val="ListParagraph"/>
        <w:numPr>
          <w:ilvl w:val="0"/>
          <w:numId w:val="2"/>
        </w:numPr>
        <w:spacing w:after="80"/>
      </w:pPr>
      <w:r>
        <w:rPr>
          <w:rFonts w:ascii="Calibri" w:cs="Calibri" w:eastAsia="Calibri" w:hAnsi="Calibri"/>
          <w:i w:val="false"/>
          <w:iCs w:val="false"/>
          <w:sz w:val="21"/>
          <w:szCs w:val="21"/>
        </w:rPr>
        <w:t xml:space="preserve">The premium</w:t>
      </w:r>
    </w:p>
    <w:p>
      <w:pPr>
        <w:pStyle w:val="ListParagraph"/>
        <w:numPr>
          <w:ilvl w:val="0"/>
          <w:numId w:val="2"/>
        </w:numPr>
        <w:spacing w:after="80"/>
      </w:pPr>
      <w:r>
        <w:rPr>
          <w:rFonts w:ascii="Calibri" w:cs="Calibri" w:eastAsia="Calibri" w:hAnsi="Calibri"/>
          <w:i w:val="false"/>
          <w:iCs w:val="false"/>
          <w:sz w:val="21"/>
          <w:szCs w:val="21"/>
        </w:rPr>
        <w:t xml:space="preserve">Any endorsements</w:t>
      </w:r>
    </w:p>
    <w:p>
      <w:pPr>
        <w:pStyle w:val="Heading1"/>
        <w:pageBreakBefore/>
        <w:pBdr>
          <w:bottom w:val="single" w:color="E2D9C8" w:sz="6"/>
        </w:pBdr>
        <w:spacing w:after="160" w:before="360"/>
      </w:pPr>
      <w:r>
        <w:rPr>
          <w:rFonts w:ascii="Calibri" w:cs="Calibri" w:eastAsia="Calibri" w:hAnsi="Calibri"/>
          <w:b/>
          <w:bCs/>
          <w:color w:val="1C1915"/>
          <w:sz w:val="30"/>
          <w:szCs w:val="30"/>
        </w:rPr>
        <w:t xml:space="preserve">1. Definitions</w:t>
      </w:r>
    </w:p>
    <w:tbl>
      <w:tblPr>
        <w:tblW w:type="dxa" w:w="9500"/>
        <w:tblBorders>
          <w:top w:val="single" w:color="auto" w:sz="4"/>
          <w:left w:val="single" w:color="auto" w:sz="4"/>
          <w:bottom w:val="single" w:color="auto" w:sz="4"/>
          <w:right w:val="single" w:color="auto" w:sz="4"/>
          <w:insideH w:val="single" w:color="auto" w:sz="4"/>
          <w:insideV w:val="single" w:color="auto" w:sz="4"/>
        </w:tblBorders>
      </w:tblPr>
      <w:tblGrid>
        <w:gridCol w:w="2400"/>
        <w:gridCol w:w="7100"/>
      </w:tblGrid>
      <w:tr>
        <w:trPr>
          <w:tblHeader/>
        </w:trPr>
        <w:tc>
          <w:tcPr>
            <w:tcW w:type="dxa" w:w="2400"/>
            <w:shd w:fill="E2D9C8" w:val="clear"/>
            <w:tcMar>
              <w:top w:type="dxa" w:w="100"/>
              <w:left w:type="dxa" w:w="100"/>
              <w:bottom w:type="dxa" w:w="100"/>
              <w:right w:type="dxa" w:w="100"/>
            </w:tcMar>
            <w:vAlign w:val="top"/>
          </w:tcPr>
          <w:p>
            <w:r>
              <w:rPr>
                <w:rFonts w:ascii="Calibri" w:cs="Calibri" w:eastAsia="Calibri" w:hAnsi="Calibri"/>
                <w:b/>
                <w:bCs/>
                <w:sz w:val="20"/>
                <w:szCs w:val="20"/>
              </w:rPr>
              <w:t xml:space="preserve">Term</w:t>
            </w:r>
          </w:p>
        </w:tc>
        <w:tc>
          <w:tcPr>
            <w:tcW w:type="dxa" w:w="7100"/>
            <w:shd w:fill="E2D9C8" w:val="clear"/>
            <w:tcMar>
              <w:top w:type="dxa" w:w="100"/>
              <w:left w:type="dxa" w:w="100"/>
              <w:bottom w:type="dxa" w:w="100"/>
              <w:right w:type="dxa" w:w="100"/>
            </w:tcMar>
            <w:vAlign w:val="top"/>
          </w:tcPr>
          <w:p>
            <w:r>
              <w:rPr>
                <w:rFonts w:ascii="Calibri" w:cs="Calibri" w:eastAsia="Calibri" w:hAnsi="Calibri"/>
                <w:b/>
                <w:bCs/>
                <w:sz w:val="20"/>
                <w:szCs w:val="20"/>
              </w:rPr>
              <w:t xml:space="preserve">Meaning</w:t>
            </w:r>
          </w:p>
        </w:tc>
      </w:tr>
      <w:tr>
        <w:tc>
          <w:tcPr>
            <w:tcW w:type="dxa" w:w="2400"/>
            <w:tcMar>
              <w:top w:type="dxa" w:w="100"/>
              <w:left w:type="dxa" w:w="100"/>
              <w:bottom w:type="dxa" w:w="100"/>
              <w:right w:type="dxa" w:w="100"/>
            </w:tcMar>
            <w:vAlign w:val="top"/>
          </w:tcPr>
          <w:p>
            <w:r>
              <w:rPr>
                <w:rFonts w:ascii="Calibri" w:cs="Calibri" w:eastAsia="Calibri" w:hAnsi="Calibri"/>
                <w:b/>
                <w:bCs/>
                <w:sz w:val="20"/>
                <w:szCs w:val="20"/>
              </w:rPr>
              <w:t xml:space="preserve">Attachment point</w:t>
            </w:r>
          </w:p>
        </w:tc>
        <w:tc>
          <w:tcPr>
            <w:tcW w:type="dxa" w:w="7100"/>
            <w:tcMar>
              <w:top w:type="dxa" w:w="100"/>
              <w:left w:type="dxa" w:w="100"/>
              <w:bottom w:type="dxa" w:w="100"/>
              <w:right w:type="dxa" w:w="100"/>
            </w:tcMar>
            <w:vAlign w:val="top"/>
          </w:tcPr>
          <w:p>
            <w:pPr>
              <w:spacing w:after="60"/>
            </w:pPr>
            <w:r>
              <w:rPr>
                <w:rFonts w:ascii="Calibri" w:cs="Calibri" w:eastAsia="Calibri" w:hAnsi="Calibri"/>
                <w:i w:val="false"/>
                <w:iCs w:val="false"/>
                <w:sz w:val="20"/>
                <w:szCs w:val="20"/>
              </w:rPr>
              <w:t xml:space="preserve">The amount shown in the schedule, being the point at which this policy begins to respond. For excess cover under Sections 2.1 and 2.2, this is normally equal to the limit of liability of the underlying D&amp;O insurance. For DIC drop-down cover under Section 2.3, this policy responds from the DIC self-insured retention shown in the schedule (which may be nil, i.e. ground-up cover).</w:t>
            </w:r>
          </w:p>
        </w:tc>
      </w:tr>
      <w:tr>
        <w:tc>
          <w:tcPr>
            <w:tcW w:type="dxa" w:w="2400"/>
            <w:tcMar>
              <w:top w:type="dxa" w:w="100"/>
              <w:left w:type="dxa" w:w="100"/>
              <w:bottom w:type="dxa" w:w="100"/>
              <w:right w:type="dxa" w:w="100"/>
            </w:tcMar>
            <w:vAlign w:val="top"/>
          </w:tcPr>
          <w:p>
            <w:r>
              <w:rPr>
                <w:rFonts w:ascii="Calibri" w:cs="Calibri" w:eastAsia="Calibri" w:hAnsi="Calibri"/>
                <w:b/>
                <w:bCs/>
                <w:sz w:val="20"/>
                <w:szCs w:val="20"/>
              </w:rPr>
              <w:t xml:space="preserve">Claim</w:t>
            </w:r>
          </w:p>
        </w:tc>
        <w:tc>
          <w:tcPr>
            <w:tcW w:type="dxa" w:w="7100"/>
            <w:tcMar>
              <w:top w:type="dxa" w:w="100"/>
              <w:left w:type="dxa" w:w="100"/>
              <w:bottom w:type="dxa" w:w="100"/>
              <w:right w:type="dxa" w:w="100"/>
            </w:tcMar>
            <w:vAlign w:val="top"/>
          </w:tcPr>
          <w:p>
            <w:pPr>
              <w:spacing w:after="60"/>
            </w:pPr>
            <w:r>
              <w:rPr>
                <w:rFonts w:ascii="Calibri" w:cs="Calibri" w:eastAsia="Calibri" w:hAnsi="Calibri"/>
                <w:i w:val="false"/>
                <w:iCs w:val="false"/>
                <w:sz w:val="20"/>
                <w:szCs w:val="20"/>
              </w:rPr>
              <w:t xml:space="preserve">(a) any written demand for compensation made against an insured person;</w:t>
            </w:r>
          </w:p>
          <w:p>
            <w:pPr>
              <w:spacing w:after="60"/>
            </w:pPr>
            <w:r>
              <w:rPr>
                <w:rFonts w:ascii="Calibri" w:cs="Calibri" w:eastAsia="Calibri" w:hAnsi="Calibri"/>
                <w:i w:val="false"/>
                <w:iCs w:val="false"/>
                <w:sz w:val="20"/>
                <w:szCs w:val="20"/>
              </w:rPr>
              <w:t xml:space="preserve">(b) any writ, summons, cross-claim, or legal proceeding issued against an insured person;</w:t>
            </w:r>
          </w:p>
          <w:p>
            <w:pPr>
              <w:spacing w:after="60"/>
            </w:pPr>
            <w:r>
              <w:rPr>
                <w:rFonts w:ascii="Calibri" w:cs="Calibri" w:eastAsia="Calibri" w:hAnsi="Calibri"/>
                <w:i w:val="false"/>
                <w:iCs w:val="false"/>
                <w:sz w:val="20"/>
                <w:szCs w:val="20"/>
              </w:rPr>
              <w:t xml:space="preserve">(c) any formal investigation, examination, or inquiry by a regulator into the conduct of an insured person, where the investigation could result in personal liability or a penalty against that individual;</w:t>
            </w:r>
          </w:p>
          <w:p>
            <w:pPr>
              <w:spacing w:after="60"/>
            </w:pPr>
            <w:r>
              <w:rPr>
                <w:rFonts w:ascii="Calibri" w:cs="Calibri" w:eastAsia="Calibri" w:hAnsi="Calibri"/>
                <w:i w:val="false"/>
                <w:iCs w:val="false"/>
                <w:sz w:val="20"/>
                <w:szCs w:val="20"/>
              </w:rPr>
              <w:t xml:space="preserve">(d) any extradition proceeding or warrant for arrest against an insured person in connection with a wrongful act; and</w:t>
            </w:r>
          </w:p>
          <w:p>
            <w:pPr>
              <w:spacing w:after="60"/>
            </w:pPr>
            <w:r>
              <w:rPr>
                <w:rFonts w:ascii="Calibri" w:cs="Calibri" w:eastAsia="Calibri" w:hAnsi="Calibri"/>
                <w:i w:val="false"/>
                <w:iCs w:val="false"/>
                <w:sz w:val="20"/>
                <w:szCs w:val="20"/>
              </w:rPr>
              <w:t xml:space="preserve">(e) any proceeding commenced by a liquidator, administrator, or receiver against an insured person.</w:t>
            </w:r>
          </w:p>
          <w:p>
            <w:pPr>
              <w:spacing w:after="60"/>
            </w:pPr>
            <w:r>
              <w:rPr>
                <w:rFonts w:ascii="Calibri" w:cs="Calibri" w:eastAsia="Calibri" w:hAnsi="Calibri"/>
                <w:i w:val="false"/>
                <w:iCs w:val="false"/>
                <w:sz w:val="20"/>
                <w:szCs w:val="20"/>
              </w:rPr>
              <w:t xml:space="preserve">Two or more claims arising from the same, similar, or related wrongful acts are treated as a single claim, first made on the date the earliest of those claims was first made.</w:t>
            </w:r>
          </w:p>
        </w:tc>
      </w:tr>
      <w:tr>
        <w:tc>
          <w:tcPr>
            <w:tcW w:type="dxa" w:w="2400"/>
            <w:tcMar>
              <w:top w:type="dxa" w:w="100"/>
              <w:left w:type="dxa" w:w="100"/>
              <w:bottom w:type="dxa" w:w="100"/>
              <w:right w:type="dxa" w:w="100"/>
            </w:tcMar>
            <w:vAlign w:val="top"/>
          </w:tcPr>
          <w:p>
            <w:r>
              <w:rPr>
                <w:rFonts w:ascii="Calibri" w:cs="Calibri" w:eastAsia="Calibri" w:hAnsi="Calibri"/>
                <w:b/>
                <w:bCs/>
                <w:sz w:val="20"/>
                <w:szCs w:val="20"/>
              </w:rPr>
              <w:t xml:space="preserve">Company</w:t>
            </w:r>
          </w:p>
        </w:tc>
        <w:tc>
          <w:tcPr>
            <w:tcW w:type="dxa" w:w="7100"/>
            <w:tcMar>
              <w:top w:type="dxa" w:w="100"/>
              <w:left w:type="dxa" w:w="100"/>
              <w:bottom w:type="dxa" w:w="100"/>
              <w:right w:type="dxa" w:w="100"/>
            </w:tcMar>
            <w:vAlign w:val="top"/>
          </w:tcPr>
          <w:p>
            <w:pPr>
              <w:spacing w:after="60"/>
            </w:pPr>
            <w:r>
              <w:rPr>
                <w:rFonts w:ascii="Calibri" w:cs="Calibri" w:eastAsia="Calibri" w:hAnsi="Calibri"/>
                <w:i w:val="false"/>
                <w:iCs w:val="false"/>
                <w:sz w:val="20"/>
                <w:szCs w:val="20"/>
              </w:rPr>
              <w:t xml:space="preserve">The entity named in the schedule, and any subsidiary.</w:t>
            </w:r>
          </w:p>
        </w:tc>
      </w:tr>
      <w:tr>
        <w:tc>
          <w:tcPr>
            <w:tcW w:type="dxa" w:w="2400"/>
            <w:tcMar>
              <w:top w:type="dxa" w:w="100"/>
              <w:left w:type="dxa" w:w="100"/>
              <w:bottom w:type="dxa" w:w="100"/>
              <w:right w:type="dxa" w:w="100"/>
            </w:tcMar>
            <w:vAlign w:val="top"/>
          </w:tcPr>
          <w:p>
            <w:r>
              <w:rPr>
                <w:rFonts w:ascii="Calibri" w:cs="Calibri" w:eastAsia="Calibri" w:hAnsi="Calibri"/>
                <w:b/>
                <w:bCs/>
                <w:sz w:val="20"/>
                <w:szCs w:val="20"/>
              </w:rPr>
              <w:t xml:space="preserve">Defence costs</w:t>
            </w:r>
          </w:p>
        </w:tc>
        <w:tc>
          <w:tcPr>
            <w:tcW w:type="dxa" w:w="7100"/>
            <w:tcMar>
              <w:top w:type="dxa" w:w="100"/>
              <w:left w:type="dxa" w:w="100"/>
              <w:bottom w:type="dxa" w:w="100"/>
              <w:right w:type="dxa" w:w="100"/>
            </w:tcMar>
            <w:vAlign w:val="top"/>
          </w:tcPr>
          <w:p>
            <w:pPr>
              <w:spacing w:after="60"/>
            </w:pPr>
            <w:r>
              <w:rPr>
                <w:rFonts w:ascii="Calibri" w:cs="Calibri" w:eastAsia="Calibri" w:hAnsi="Calibri"/>
                <w:i w:val="false"/>
                <w:iCs w:val="false"/>
                <w:sz w:val="20"/>
                <w:szCs w:val="20"/>
              </w:rPr>
              <w:t xml:space="preserve">The reasonable legal costs and expenses incurred by an insured person with our prior written consent in investigating, defending, or settling a claim. We will not unreasonably withhold or delay our consent. We will advance defence costs immediately upon request.</w:t>
            </w:r>
          </w:p>
        </w:tc>
      </w:tr>
      <w:tr>
        <w:tc>
          <w:tcPr>
            <w:tcW w:type="dxa" w:w="2400"/>
            <w:tcMar>
              <w:top w:type="dxa" w:w="100"/>
              <w:left w:type="dxa" w:w="100"/>
              <w:bottom w:type="dxa" w:w="100"/>
              <w:right w:type="dxa" w:w="100"/>
            </w:tcMar>
            <w:vAlign w:val="top"/>
          </w:tcPr>
          <w:p>
            <w:r>
              <w:rPr>
                <w:rFonts w:ascii="Calibri" w:cs="Calibri" w:eastAsia="Calibri" w:hAnsi="Calibri"/>
                <w:b/>
                <w:bCs/>
                <w:sz w:val="20"/>
                <w:szCs w:val="20"/>
              </w:rPr>
              <w:t xml:space="preserve">Endorsement</w:t>
            </w:r>
          </w:p>
        </w:tc>
        <w:tc>
          <w:tcPr>
            <w:tcW w:type="dxa" w:w="7100"/>
            <w:tcMar>
              <w:top w:type="dxa" w:w="100"/>
              <w:left w:type="dxa" w:w="100"/>
              <w:bottom w:type="dxa" w:w="100"/>
              <w:right w:type="dxa" w:w="100"/>
            </w:tcMar>
            <w:vAlign w:val="top"/>
          </w:tcPr>
          <w:p>
            <w:pPr>
              <w:spacing w:after="60"/>
            </w:pPr>
            <w:r>
              <w:rPr>
                <w:rFonts w:ascii="Calibri" w:cs="Calibri" w:eastAsia="Calibri" w:hAnsi="Calibri"/>
                <w:i w:val="false"/>
                <w:iCs w:val="false"/>
                <w:sz w:val="20"/>
                <w:szCs w:val="20"/>
              </w:rPr>
              <w:t xml:space="preserve">A document attached to this policy that changes its terms.</w:t>
            </w:r>
          </w:p>
        </w:tc>
      </w:tr>
      <w:tr>
        <w:tc>
          <w:tcPr>
            <w:tcW w:type="dxa" w:w="2400"/>
            <w:tcMar>
              <w:top w:type="dxa" w:w="100"/>
              <w:left w:type="dxa" w:w="100"/>
              <w:bottom w:type="dxa" w:w="100"/>
              <w:right w:type="dxa" w:w="100"/>
            </w:tcMar>
            <w:vAlign w:val="top"/>
          </w:tcPr>
          <w:p>
            <w:r>
              <w:rPr>
                <w:rFonts w:ascii="Calibri" w:cs="Calibri" w:eastAsia="Calibri" w:hAnsi="Calibri"/>
                <w:b/>
                <w:bCs/>
                <w:sz w:val="20"/>
                <w:szCs w:val="20"/>
              </w:rPr>
              <w:t xml:space="preserve">Final adjudication</w:t>
            </w:r>
          </w:p>
        </w:tc>
        <w:tc>
          <w:tcPr>
            <w:tcW w:type="dxa" w:w="7100"/>
            <w:tcMar>
              <w:top w:type="dxa" w:w="100"/>
              <w:left w:type="dxa" w:w="100"/>
              <w:bottom w:type="dxa" w:w="100"/>
              <w:right w:type="dxa" w:w="100"/>
            </w:tcMar>
            <w:vAlign w:val="top"/>
          </w:tcPr>
          <w:p>
            <w:pPr>
              <w:spacing w:after="60"/>
            </w:pPr>
            <w:r>
              <w:rPr>
                <w:rFonts w:ascii="Calibri" w:cs="Calibri" w:eastAsia="Calibri" w:hAnsi="Calibri"/>
                <w:i w:val="false"/>
                <w:iCs w:val="false"/>
                <w:sz w:val="20"/>
                <w:szCs w:val="20"/>
              </w:rPr>
              <w:t xml:space="preserve">means a judgment or ruling of a court, tribunal, or arbitral body, after the exhaustion of all available rights of appeal or the expiry of the time within which an appeal may be lodged without an appeal being lodged, or a formal admission by the insured person, that establishes the conduct in question. Every reference in this policy to conduct being established, admitted, or determined by final adjudication (including in Sections 4.2 and 4.3) carries this meaning, including all appeals.</w:t>
            </w:r>
          </w:p>
        </w:tc>
      </w:tr>
      <w:tr>
        <w:tc>
          <w:tcPr>
            <w:tcW w:type="dxa" w:w="2400"/>
            <w:tcMar>
              <w:top w:type="dxa" w:w="100"/>
              <w:left w:type="dxa" w:w="100"/>
              <w:bottom w:type="dxa" w:w="100"/>
              <w:right w:type="dxa" w:w="100"/>
            </w:tcMar>
            <w:vAlign w:val="top"/>
          </w:tcPr>
          <w:p>
            <w:r>
              <w:rPr>
                <w:rFonts w:ascii="Calibri" w:cs="Calibri" w:eastAsia="Calibri" w:hAnsi="Calibri"/>
                <w:b/>
                <w:bCs/>
                <w:sz w:val="20"/>
                <w:szCs w:val="20"/>
              </w:rPr>
              <w:t xml:space="preserve">Indemnifiable loss</w:t>
            </w:r>
          </w:p>
        </w:tc>
        <w:tc>
          <w:tcPr>
            <w:tcW w:type="dxa" w:w="7100"/>
            <w:tcMar>
              <w:top w:type="dxa" w:w="100"/>
              <w:left w:type="dxa" w:w="100"/>
              <w:bottom w:type="dxa" w:w="100"/>
              <w:right w:type="dxa" w:w="100"/>
            </w:tcMar>
            <w:vAlign w:val="top"/>
          </w:tcPr>
          <w:p>
            <w:pPr>
              <w:spacing w:after="60"/>
            </w:pPr>
            <w:r>
              <w:rPr>
                <w:rFonts w:ascii="Calibri" w:cs="Calibri" w:eastAsia="Calibri" w:hAnsi="Calibri"/>
                <w:i w:val="false"/>
                <w:iCs w:val="false"/>
                <w:sz w:val="20"/>
                <w:szCs w:val="20"/>
              </w:rPr>
              <w:t xml:space="preserve">A loss that the company is legally permitted to indemnify under the Corporations Act 2001 (Cth), its constitution, any deed of indemnity, or any other applicable law or agreement.</w:t>
            </w:r>
          </w:p>
        </w:tc>
      </w:tr>
      <w:tr>
        <w:tc>
          <w:tcPr>
            <w:tcW w:type="dxa" w:w="2400"/>
            <w:tcMar>
              <w:top w:type="dxa" w:w="100"/>
              <w:left w:type="dxa" w:w="100"/>
              <w:bottom w:type="dxa" w:w="100"/>
              <w:right w:type="dxa" w:w="100"/>
            </w:tcMar>
            <w:vAlign w:val="top"/>
          </w:tcPr>
          <w:p>
            <w:r>
              <w:rPr>
                <w:rFonts w:ascii="Calibri" w:cs="Calibri" w:eastAsia="Calibri" w:hAnsi="Calibri"/>
                <w:b/>
                <w:bCs/>
                <w:sz w:val="20"/>
                <w:szCs w:val="20"/>
              </w:rPr>
              <w:t xml:space="preserve">Independent third party</w:t>
            </w:r>
          </w:p>
        </w:tc>
        <w:tc>
          <w:tcPr>
            <w:tcW w:type="dxa" w:w="7100"/>
            <w:tcMar>
              <w:top w:type="dxa" w:w="100"/>
              <w:left w:type="dxa" w:w="100"/>
              <w:bottom w:type="dxa" w:w="100"/>
              <w:right w:type="dxa" w:w="100"/>
            </w:tcMar>
            <w:vAlign w:val="top"/>
          </w:tcPr>
          <w:p>
            <w:pPr>
              <w:spacing w:after="60"/>
            </w:pPr>
            <w:r>
              <w:rPr>
                <w:rFonts w:ascii="Calibri" w:cs="Calibri" w:eastAsia="Calibri" w:hAnsi="Calibri"/>
                <w:i w:val="false"/>
                <w:iCs w:val="false"/>
                <w:sz w:val="20"/>
                <w:szCs w:val="20"/>
              </w:rPr>
              <w:t xml:space="preserve">A person or entity that is not an insured person, the company, or a related body corporate of the company, and that is not acting at the direction of, on behalf of, or for the benefit of, any of them.</w:t>
            </w:r>
          </w:p>
        </w:tc>
      </w:tr>
      <w:tr>
        <w:tc>
          <w:tcPr>
            <w:tcW w:type="dxa" w:w="2400"/>
            <w:tcMar>
              <w:top w:type="dxa" w:w="100"/>
              <w:left w:type="dxa" w:w="100"/>
              <w:bottom w:type="dxa" w:w="100"/>
              <w:right w:type="dxa" w:w="100"/>
            </w:tcMar>
            <w:vAlign w:val="top"/>
          </w:tcPr>
          <w:p>
            <w:r>
              <w:rPr>
                <w:rFonts w:ascii="Calibri" w:cs="Calibri" w:eastAsia="Calibri" w:hAnsi="Calibri"/>
                <w:b/>
                <w:bCs/>
                <w:sz w:val="20"/>
                <w:szCs w:val="20"/>
              </w:rPr>
              <w:t xml:space="preserve">Insured person</w:t>
            </w:r>
          </w:p>
        </w:tc>
        <w:tc>
          <w:tcPr>
            <w:tcW w:type="dxa" w:w="7100"/>
            <w:tcMar>
              <w:top w:type="dxa" w:w="100"/>
              <w:left w:type="dxa" w:w="100"/>
              <w:bottom w:type="dxa" w:w="100"/>
              <w:right w:type="dxa" w:w="100"/>
            </w:tcMar>
            <w:vAlign w:val="top"/>
          </w:tcPr>
          <w:p>
            <w:pPr>
              <w:spacing w:after="60"/>
            </w:pPr>
            <w:r>
              <w:rPr>
                <w:rFonts w:ascii="Calibri" w:cs="Calibri" w:eastAsia="Calibri" w:hAnsi="Calibri"/>
                <w:i w:val="false"/>
                <w:iCs w:val="false"/>
                <w:sz w:val="20"/>
                <w:szCs w:val="20"/>
              </w:rPr>
              <w:t xml:space="preserve">(a) a director (including a shadow director, de facto director, or alternate director) of the company;</w:t>
            </w:r>
          </w:p>
          <w:p>
            <w:pPr>
              <w:spacing w:after="60"/>
            </w:pPr>
            <w:r>
              <w:rPr>
                <w:rFonts w:ascii="Calibri" w:cs="Calibri" w:eastAsia="Calibri" w:hAnsi="Calibri"/>
                <w:i w:val="false"/>
                <w:iCs w:val="false"/>
                <w:sz w:val="20"/>
                <w:szCs w:val="20"/>
              </w:rPr>
              <w:t xml:space="preserve">(b) an officer of the company (including the company secretary, chief executive, chief financial officer, chief operating officer, general counsel, or any person who participates in making decisions that affect the whole or a substantial part of the company's business);</w:t>
            </w:r>
          </w:p>
          <w:p>
            <w:pPr>
              <w:spacing w:after="60"/>
            </w:pPr>
            <w:r>
              <w:rPr>
                <w:rFonts w:ascii="Calibri" w:cs="Calibri" w:eastAsia="Calibri" w:hAnsi="Calibri"/>
                <w:i w:val="false"/>
                <w:iCs w:val="false"/>
                <w:sz w:val="20"/>
                <w:szCs w:val="20"/>
              </w:rPr>
              <w:t xml:space="preserve">(c) a member of a committee of management, board of governors, or equivalent governing body; or</w:t>
            </w:r>
          </w:p>
          <w:p>
            <w:pPr>
              <w:spacing w:after="60"/>
            </w:pPr>
            <w:r>
              <w:rPr>
                <w:rFonts w:ascii="Calibri" w:cs="Calibri" w:eastAsia="Calibri" w:hAnsi="Calibri"/>
                <w:i w:val="false"/>
                <w:iCs w:val="false"/>
                <w:sz w:val="20"/>
                <w:szCs w:val="20"/>
              </w:rPr>
              <w:t xml:space="preserve">(d) any person in an equivalent position in a subsidiary.</w:t>
            </w:r>
          </w:p>
          <w:p>
            <w:pPr>
              <w:spacing w:after="60"/>
            </w:pPr>
            <w:r>
              <w:rPr>
                <w:rFonts w:ascii="Calibri" w:cs="Calibri" w:eastAsia="Calibri" w:hAnsi="Calibri"/>
                <w:i w:val="false"/>
                <w:iCs w:val="false"/>
                <w:sz w:val="20"/>
                <w:szCs w:val="20"/>
              </w:rPr>
              <w:t xml:space="preserve">It also includes the lawful spouse, domestic partner, estate, or legal representative of an insured person — but only for claims arising from the insured person's wrongful acts, not their own.</w:t>
            </w:r>
          </w:p>
        </w:tc>
      </w:tr>
      <w:tr>
        <w:tc>
          <w:tcPr>
            <w:tcW w:type="dxa" w:w="2400"/>
            <w:tcMar>
              <w:top w:type="dxa" w:w="100"/>
              <w:left w:type="dxa" w:w="100"/>
              <w:bottom w:type="dxa" w:w="100"/>
              <w:right w:type="dxa" w:w="100"/>
            </w:tcMar>
            <w:vAlign w:val="top"/>
          </w:tcPr>
          <w:p>
            <w:r>
              <w:rPr>
                <w:rFonts w:ascii="Calibri" w:cs="Calibri" w:eastAsia="Calibri" w:hAnsi="Calibri"/>
                <w:b/>
                <w:bCs/>
                <w:sz w:val="20"/>
                <w:szCs w:val="20"/>
              </w:rPr>
              <w:t xml:space="preserve">Loss</w:t>
            </w:r>
          </w:p>
        </w:tc>
        <w:tc>
          <w:tcPr>
            <w:tcW w:type="dxa" w:w="7100"/>
            <w:tcMar>
              <w:top w:type="dxa" w:w="100"/>
              <w:left w:type="dxa" w:w="100"/>
              <w:bottom w:type="dxa" w:w="100"/>
              <w:right w:type="dxa" w:w="100"/>
            </w:tcMar>
            <w:vAlign w:val="top"/>
          </w:tcPr>
          <w:p>
            <w:pPr>
              <w:spacing w:after="60"/>
            </w:pPr>
            <w:r>
              <w:rPr>
                <w:rFonts w:ascii="Calibri" w:cs="Calibri" w:eastAsia="Calibri" w:hAnsi="Calibri"/>
                <w:i w:val="false"/>
                <w:iCs w:val="false"/>
                <w:sz w:val="20"/>
                <w:szCs w:val="20"/>
              </w:rPr>
              <w:t xml:space="preserve">The amount an insured person becomes personally liable to pay, including: (a) compensatory damages (including interest); (b) the claimant's legal costs awarded against the insured person; (c) defence costs; and (d) settlements agreed with our prior written consent.</w:t>
            </w:r>
          </w:p>
          <w:p>
            <w:pPr>
              <w:spacing w:after="60"/>
            </w:pPr>
            <w:r>
              <w:rPr>
                <w:rFonts w:ascii="Calibri" w:cs="Calibri" w:eastAsia="Calibri" w:hAnsi="Calibri"/>
                <w:i w:val="false"/>
                <w:iCs w:val="false"/>
                <w:sz w:val="20"/>
                <w:szCs w:val="20"/>
              </w:rPr>
              <w:t xml:space="preserve">Loss does not include: (i) any amount the company has actually indemnified or is obligated to indemnify; (ii) taxes, or the return of remuneration to which the insured person was not entitled; (iii) fines or penalties that are not insurable at law, including (without limitation) any pecuniary penalty order or compensation order the payment or insurance of which is prohibited by section 199B of the Corporations Act 2001 (Cth); or (iv) matters uninsurable at law.</w:t>
            </w:r>
          </w:p>
        </w:tc>
      </w:tr>
      <w:tr>
        <w:tc>
          <w:tcPr>
            <w:tcW w:type="dxa" w:w="2400"/>
            <w:tcMar>
              <w:top w:type="dxa" w:w="100"/>
              <w:left w:type="dxa" w:w="100"/>
              <w:bottom w:type="dxa" w:w="100"/>
              <w:right w:type="dxa" w:w="100"/>
            </w:tcMar>
            <w:vAlign w:val="top"/>
          </w:tcPr>
          <w:p>
            <w:r>
              <w:rPr>
                <w:rFonts w:ascii="Calibri" w:cs="Calibri" w:eastAsia="Calibri" w:hAnsi="Calibri"/>
                <w:b/>
                <w:bCs/>
                <w:sz w:val="20"/>
                <w:szCs w:val="20"/>
              </w:rPr>
              <w:t xml:space="preserve">Non-indemnifiable loss</w:t>
            </w:r>
          </w:p>
        </w:tc>
        <w:tc>
          <w:tcPr>
            <w:tcW w:type="dxa" w:w="7100"/>
            <w:tcMar>
              <w:top w:type="dxa" w:w="100"/>
              <w:left w:type="dxa" w:w="100"/>
              <w:bottom w:type="dxa" w:w="100"/>
              <w:right w:type="dxa" w:w="100"/>
            </w:tcMar>
            <w:vAlign w:val="top"/>
          </w:tcPr>
          <w:p>
            <w:pPr>
              <w:spacing w:after="60"/>
            </w:pPr>
            <w:r>
              <w:rPr>
                <w:rFonts w:ascii="Calibri" w:cs="Calibri" w:eastAsia="Calibri" w:hAnsi="Calibri"/>
                <w:i w:val="false"/>
                <w:iCs w:val="false"/>
                <w:sz w:val="20"/>
                <w:szCs w:val="20"/>
              </w:rPr>
              <w:t xml:space="preserve">A loss that the company: (a) is not legally permitted to indemnify (for example, where indemnification is prohibited by section 199A of the Corporations Act 2001 (Cth)); (b) is financially unable to indemnify (because of insolvency, liquidation, administration, receivership, or financial incapacity); or (c) refuses or fails to indemnify (despite being legally permitted and financially able to do so).</w:t>
            </w:r>
          </w:p>
          <w:p>
            <w:pPr>
              <w:spacing w:after="60"/>
            </w:pPr>
            <w:r>
              <w:rPr>
                <w:rFonts w:ascii="Calibri" w:cs="Calibri" w:eastAsia="Calibri" w:hAnsi="Calibri"/>
                <w:i w:val="false"/>
                <w:iCs w:val="false"/>
                <w:sz w:val="20"/>
                <w:szCs w:val="20"/>
              </w:rPr>
              <w:t xml:space="preserve">See also Section 2.6 (Presumptive Indemnification), which governs how this definition is applied where the company's ability or willingness to indemnify is uncertain or contested.</w:t>
            </w:r>
          </w:p>
        </w:tc>
      </w:tr>
      <w:tr>
        <w:tc>
          <w:tcPr>
            <w:tcW w:type="dxa" w:w="2400"/>
            <w:tcMar>
              <w:top w:type="dxa" w:w="100"/>
              <w:left w:type="dxa" w:w="100"/>
              <w:bottom w:type="dxa" w:w="100"/>
              <w:right w:type="dxa" w:w="100"/>
            </w:tcMar>
            <w:vAlign w:val="top"/>
          </w:tcPr>
          <w:p>
            <w:r>
              <w:rPr>
                <w:rFonts w:ascii="Calibri" w:cs="Calibri" w:eastAsia="Calibri" w:hAnsi="Calibri"/>
                <w:b/>
                <w:bCs/>
                <w:sz w:val="20"/>
                <w:szCs w:val="20"/>
              </w:rPr>
              <w:t xml:space="preserve">Policy period</w:t>
            </w:r>
          </w:p>
        </w:tc>
        <w:tc>
          <w:tcPr>
            <w:tcW w:type="dxa" w:w="7100"/>
            <w:tcMar>
              <w:top w:type="dxa" w:w="100"/>
              <w:left w:type="dxa" w:w="100"/>
              <w:bottom w:type="dxa" w:w="100"/>
              <w:right w:type="dxa" w:w="100"/>
            </w:tcMar>
            <w:vAlign w:val="top"/>
          </w:tcPr>
          <w:p>
            <w:pPr>
              <w:spacing w:after="60"/>
            </w:pPr>
            <w:r>
              <w:rPr>
                <w:rFonts w:ascii="Calibri" w:cs="Calibri" w:eastAsia="Calibri" w:hAnsi="Calibri"/>
                <w:i w:val="false"/>
                <w:iCs w:val="false"/>
                <w:sz w:val="20"/>
                <w:szCs w:val="20"/>
              </w:rPr>
              <w:t xml:space="preserve">The period shown in the schedule.</w:t>
            </w:r>
          </w:p>
        </w:tc>
      </w:tr>
      <w:tr>
        <w:tc>
          <w:tcPr>
            <w:tcW w:type="dxa" w:w="2400"/>
            <w:tcMar>
              <w:top w:type="dxa" w:w="100"/>
              <w:left w:type="dxa" w:w="100"/>
              <w:bottom w:type="dxa" w:w="100"/>
              <w:right w:type="dxa" w:w="100"/>
            </w:tcMar>
            <w:vAlign w:val="top"/>
          </w:tcPr>
          <w:p>
            <w:r>
              <w:rPr>
                <w:rFonts w:ascii="Calibri" w:cs="Calibri" w:eastAsia="Calibri" w:hAnsi="Calibri"/>
                <w:b/>
                <w:bCs/>
                <w:sz w:val="20"/>
                <w:szCs w:val="20"/>
              </w:rPr>
              <w:t xml:space="preserve">Regulator</w:t>
            </w:r>
          </w:p>
        </w:tc>
        <w:tc>
          <w:tcPr>
            <w:tcW w:type="dxa" w:w="7100"/>
            <w:tcMar>
              <w:top w:type="dxa" w:w="100"/>
              <w:left w:type="dxa" w:w="100"/>
              <w:bottom w:type="dxa" w:w="100"/>
              <w:right w:type="dxa" w:w="100"/>
            </w:tcMar>
            <w:vAlign w:val="top"/>
          </w:tcPr>
          <w:p>
            <w:pPr>
              <w:spacing w:after="60"/>
            </w:pPr>
            <w:r>
              <w:rPr>
                <w:rFonts w:ascii="Calibri" w:cs="Calibri" w:eastAsia="Calibri" w:hAnsi="Calibri"/>
                <w:i w:val="false"/>
                <w:iCs w:val="false"/>
                <w:sz w:val="20"/>
                <w:szCs w:val="20"/>
              </w:rPr>
              <w:t xml:space="preserve">Any government body, statutory authority, regulatory agency, or professional body with the power to investigate or take enforcement action. Includes ASIC, APRA, the ACCC, the ATO, SafeWork, the OAIC, and any equivalent body.</w:t>
            </w:r>
          </w:p>
        </w:tc>
      </w:tr>
      <w:tr>
        <w:tc>
          <w:tcPr>
            <w:tcW w:type="dxa" w:w="2400"/>
            <w:tcMar>
              <w:top w:type="dxa" w:w="100"/>
              <w:left w:type="dxa" w:w="100"/>
              <w:bottom w:type="dxa" w:w="100"/>
              <w:right w:type="dxa" w:w="100"/>
            </w:tcMar>
            <w:vAlign w:val="top"/>
          </w:tcPr>
          <w:p>
            <w:r>
              <w:rPr>
                <w:rFonts w:ascii="Calibri" w:cs="Calibri" w:eastAsia="Calibri" w:hAnsi="Calibri"/>
                <w:b/>
                <w:bCs/>
                <w:sz w:val="20"/>
                <w:szCs w:val="20"/>
              </w:rPr>
              <w:t xml:space="preserve">Retroactive date</w:t>
            </w:r>
          </w:p>
        </w:tc>
        <w:tc>
          <w:tcPr>
            <w:tcW w:type="dxa" w:w="7100"/>
            <w:tcMar>
              <w:top w:type="dxa" w:w="100"/>
              <w:left w:type="dxa" w:w="100"/>
              <w:bottom w:type="dxa" w:w="100"/>
              <w:right w:type="dxa" w:w="100"/>
            </w:tcMar>
            <w:vAlign w:val="top"/>
          </w:tcPr>
          <w:p>
            <w:pPr>
              <w:spacing w:after="60"/>
            </w:pPr>
            <w:r>
              <w:rPr>
                <w:rFonts w:ascii="Calibri" w:cs="Calibri" w:eastAsia="Calibri" w:hAnsi="Calibri"/>
                <w:i w:val="false"/>
                <w:iCs w:val="false"/>
                <w:sz w:val="20"/>
                <w:szCs w:val="20"/>
              </w:rPr>
              <w:t xml:space="preserve">means the date shown in the schedule. This policy does not cover any claim arising from a wrongful act committed, in whole or in part, before the retroactive date.</w:t>
            </w:r>
          </w:p>
          <w:p>
            <w:pPr>
              <w:spacing w:after="60"/>
            </w:pPr>
            <w:r>
              <w:rPr>
                <w:rFonts w:ascii="Calibri" w:cs="Calibri" w:eastAsia="Calibri" w:hAnsi="Calibri"/>
                <w:i w:val="false"/>
                <w:iCs w:val="false"/>
                <w:sz w:val="20"/>
                <w:szCs w:val="20"/>
              </w:rPr>
              <w:t xml:space="preserve">Where two or more wrongful acts are treated as a single claim under the definition of Claim, the retroactive date is applied to that claim by reference to the date of the earliest of those wrongful acts.</w:t>
            </w:r>
          </w:p>
        </w:tc>
      </w:tr>
      <w:tr>
        <w:tc>
          <w:tcPr>
            <w:tcW w:type="dxa" w:w="2400"/>
            <w:tcMar>
              <w:top w:type="dxa" w:w="100"/>
              <w:left w:type="dxa" w:w="100"/>
              <w:bottom w:type="dxa" w:w="100"/>
              <w:right w:type="dxa" w:w="100"/>
            </w:tcMar>
            <w:vAlign w:val="top"/>
          </w:tcPr>
          <w:p>
            <w:r>
              <w:rPr>
                <w:rFonts w:ascii="Calibri" w:cs="Calibri" w:eastAsia="Calibri" w:hAnsi="Calibri"/>
                <w:b/>
                <w:bCs/>
                <w:sz w:val="20"/>
                <w:szCs w:val="20"/>
              </w:rPr>
              <w:t xml:space="preserve">Schedule</w:t>
            </w:r>
          </w:p>
        </w:tc>
        <w:tc>
          <w:tcPr>
            <w:tcW w:type="dxa" w:w="7100"/>
            <w:tcMar>
              <w:top w:type="dxa" w:w="100"/>
              <w:left w:type="dxa" w:w="100"/>
              <w:bottom w:type="dxa" w:w="100"/>
              <w:right w:type="dxa" w:w="100"/>
            </w:tcMar>
            <w:vAlign w:val="top"/>
          </w:tcPr>
          <w:p>
            <w:pPr>
              <w:spacing w:after="60"/>
            </w:pPr>
            <w:r>
              <w:rPr>
                <w:rFonts w:ascii="Calibri" w:cs="Calibri" w:eastAsia="Calibri" w:hAnsi="Calibri"/>
                <w:i w:val="false"/>
                <w:iCs w:val="false"/>
                <w:sz w:val="20"/>
                <w:szCs w:val="20"/>
              </w:rPr>
              <w:t xml:space="preserve">The document titled "Schedule" issued with this policy, as amended by any endorsement.</w:t>
            </w:r>
          </w:p>
        </w:tc>
      </w:tr>
      <w:tr>
        <w:tc>
          <w:tcPr>
            <w:tcW w:type="dxa" w:w="2400"/>
            <w:tcMar>
              <w:top w:type="dxa" w:w="100"/>
              <w:left w:type="dxa" w:w="100"/>
              <w:bottom w:type="dxa" w:w="100"/>
              <w:right w:type="dxa" w:w="100"/>
            </w:tcMar>
            <w:vAlign w:val="top"/>
          </w:tcPr>
          <w:p>
            <w:r>
              <w:rPr>
                <w:rFonts w:ascii="Calibri" w:cs="Calibri" w:eastAsia="Calibri" w:hAnsi="Calibri"/>
                <w:b/>
                <w:bCs/>
                <w:sz w:val="20"/>
                <w:szCs w:val="20"/>
              </w:rPr>
              <w:t xml:space="preserve">Subsidiary</w:t>
            </w:r>
          </w:p>
        </w:tc>
        <w:tc>
          <w:tcPr>
            <w:tcW w:type="dxa" w:w="7100"/>
            <w:tcMar>
              <w:top w:type="dxa" w:w="100"/>
              <w:left w:type="dxa" w:w="100"/>
              <w:bottom w:type="dxa" w:w="100"/>
              <w:right w:type="dxa" w:w="100"/>
            </w:tcMar>
            <w:vAlign w:val="top"/>
          </w:tcPr>
          <w:p>
            <w:pPr>
              <w:spacing w:after="60"/>
            </w:pPr>
            <w:r>
              <w:rPr>
                <w:rFonts w:ascii="Calibri" w:cs="Calibri" w:eastAsia="Calibri" w:hAnsi="Calibri"/>
                <w:i w:val="false"/>
                <w:iCs w:val="false"/>
                <w:sz w:val="20"/>
                <w:szCs w:val="20"/>
              </w:rPr>
              <w:t xml:space="preserve">Any entity in which the company holds more than 50% of the voting rights, or over which the company has effective management control, at the time of the relevant wrongful act.</w:t>
            </w:r>
          </w:p>
        </w:tc>
      </w:tr>
      <w:tr>
        <w:tc>
          <w:tcPr>
            <w:tcW w:type="dxa" w:w="2400"/>
            <w:tcMar>
              <w:top w:type="dxa" w:w="100"/>
              <w:left w:type="dxa" w:w="100"/>
              <w:bottom w:type="dxa" w:w="100"/>
              <w:right w:type="dxa" w:w="100"/>
            </w:tcMar>
            <w:vAlign w:val="top"/>
          </w:tcPr>
          <w:p>
            <w:r>
              <w:rPr>
                <w:rFonts w:ascii="Calibri" w:cs="Calibri" w:eastAsia="Calibri" w:hAnsi="Calibri"/>
                <w:b/>
                <w:bCs/>
                <w:sz w:val="20"/>
                <w:szCs w:val="20"/>
              </w:rPr>
              <w:t xml:space="preserve">Underlying D&amp;O insurance</w:t>
            </w:r>
          </w:p>
        </w:tc>
        <w:tc>
          <w:tcPr>
            <w:tcW w:type="dxa" w:w="7100"/>
            <w:tcMar>
              <w:top w:type="dxa" w:w="100"/>
              <w:left w:type="dxa" w:w="100"/>
              <w:bottom w:type="dxa" w:w="100"/>
              <w:right w:type="dxa" w:w="100"/>
            </w:tcMar>
            <w:vAlign w:val="top"/>
          </w:tcPr>
          <w:p>
            <w:pPr>
              <w:spacing w:after="60"/>
            </w:pPr>
            <w:r>
              <w:rPr>
                <w:rFonts w:ascii="Calibri" w:cs="Calibri" w:eastAsia="Calibri" w:hAnsi="Calibri"/>
                <w:i w:val="false"/>
                <w:iCs w:val="false"/>
                <w:sz w:val="20"/>
                <w:szCs w:val="20"/>
              </w:rPr>
              <w:t xml:space="preserve">The directors' and officers' liability or management liability policy listed in the schedule.</w:t>
            </w:r>
          </w:p>
        </w:tc>
      </w:tr>
      <w:tr>
        <w:tc>
          <w:tcPr>
            <w:tcW w:type="dxa" w:w="2400"/>
            <w:tcMar>
              <w:top w:type="dxa" w:w="100"/>
              <w:left w:type="dxa" w:w="100"/>
              <w:bottom w:type="dxa" w:w="100"/>
              <w:right w:type="dxa" w:w="100"/>
            </w:tcMar>
            <w:vAlign w:val="top"/>
          </w:tcPr>
          <w:p>
            <w:r>
              <w:rPr>
                <w:rFonts w:ascii="Calibri" w:cs="Calibri" w:eastAsia="Calibri" w:hAnsi="Calibri"/>
                <w:b/>
                <w:bCs/>
                <w:sz w:val="20"/>
                <w:szCs w:val="20"/>
              </w:rPr>
              <w:t xml:space="preserve">We / us / our</w:t>
            </w:r>
          </w:p>
        </w:tc>
        <w:tc>
          <w:tcPr>
            <w:tcW w:type="dxa" w:w="7100"/>
            <w:tcMar>
              <w:top w:type="dxa" w:w="100"/>
              <w:left w:type="dxa" w:w="100"/>
              <w:bottom w:type="dxa" w:w="100"/>
              <w:right w:type="dxa" w:w="100"/>
            </w:tcMar>
            <w:vAlign w:val="top"/>
          </w:tcPr>
          <w:p>
            <w:pPr>
              <w:spacing w:after="60"/>
            </w:pPr>
            <w:r>
              <w:rPr>
                <w:rFonts w:ascii="Calibri" w:cs="Calibri" w:eastAsia="Calibri" w:hAnsi="Calibri"/>
                <w:i w:val="false"/>
                <w:iCs w:val="false"/>
                <w:sz w:val="20"/>
                <w:szCs w:val="20"/>
              </w:rPr>
              <w:t xml:space="preserve">The insurer named in the schedule.</w:t>
            </w:r>
          </w:p>
        </w:tc>
      </w:tr>
      <w:tr>
        <w:tc>
          <w:tcPr>
            <w:tcW w:type="dxa" w:w="2400"/>
            <w:tcMar>
              <w:top w:type="dxa" w:w="100"/>
              <w:left w:type="dxa" w:w="100"/>
              <w:bottom w:type="dxa" w:w="100"/>
              <w:right w:type="dxa" w:w="100"/>
            </w:tcMar>
            <w:vAlign w:val="top"/>
          </w:tcPr>
          <w:p>
            <w:r>
              <w:rPr>
                <w:rFonts w:ascii="Calibri" w:cs="Calibri" w:eastAsia="Calibri" w:hAnsi="Calibri"/>
                <w:b/>
                <w:bCs/>
                <w:sz w:val="20"/>
                <w:szCs w:val="20"/>
              </w:rPr>
              <w:t xml:space="preserve">Whistleblower</w:t>
            </w:r>
          </w:p>
        </w:tc>
        <w:tc>
          <w:tcPr>
            <w:tcW w:type="dxa" w:w="7100"/>
            <w:tcMar>
              <w:top w:type="dxa" w:w="100"/>
              <w:left w:type="dxa" w:w="100"/>
              <w:bottom w:type="dxa" w:w="100"/>
              <w:right w:type="dxa" w:w="100"/>
            </w:tcMar>
            <w:vAlign w:val="top"/>
          </w:tcPr>
          <w:p>
            <w:pPr>
              <w:spacing w:after="60"/>
            </w:pPr>
            <w:r>
              <w:rPr>
                <w:rFonts w:ascii="Calibri" w:cs="Calibri" w:eastAsia="Calibri" w:hAnsi="Calibri"/>
                <w:i w:val="false"/>
                <w:iCs w:val="false"/>
                <w:sz w:val="20"/>
                <w:szCs w:val="20"/>
              </w:rPr>
              <w:t xml:space="preserve">Has the meaning of "eligible whistleblower" in Part 9.4AAA of the Corporations Act 2001 (Cth).</w:t>
            </w:r>
          </w:p>
        </w:tc>
      </w:tr>
      <w:tr>
        <w:tc>
          <w:tcPr>
            <w:tcW w:type="dxa" w:w="2400"/>
            <w:tcMar>
              <w:top w:type="dxa" w:w="100"/>
              <w:left w:type="dxa" w:w="100"/>
              <w:bottom w:type="dxa" w:w="100"/>
              <w:right w:type="dxa" w:w="100"/>
            </w:tcMar>
            <w:vAlign w:val="top"/>
          </w:tcPr>
          <w:p>
            <w:r>
              <w:rPr>
                <w:rFonts w:ascii="Calibri" w:cs="Calibri" w:eastAsia="Calibri" w:hAnsi="Calibri"/>
                <w:b/>
                <w:bCs/>
                <w:sz w:val="20"/>
                <w:szCs w:val="20"/>
              </w:rPr>
              <w:t xml:space="preserve">Wrongful act</w:t>
            </w:r>
          </w:p>
        </w:tc>
        <w:tc>
          <w:tcPr>
            <w:tcW w:type="dxa" w:w="7100"/>
            <w:tcMar>
              <w:top w:type="dxa" w:w="100"/>
              <w:left w:type="dxa" w:w="100"/>
              <w:bottom w:type="dxa" w:w="100"/>
              <w:right w:type="dxa" w:w="100"/>
            </w:tcMar>
            <w:vAlign w:val="top"/>
          </w:tcPr>
          <w:p>
            <w:pPr>
              <w:spacing w:after="60"/>
            </w:pPr>
            <w:r>
              <w:rPr>
                <w:rFonts w:ascii="Calibri" w:cs="Calibri" w:eastAsia="Calibri" w:hAnsi="Calibri"/>
                <w:i w:val="false"/>
                <w:iCs w:val="false"/>
                <w:sz w:val="20"/>
                <w:szCs w:val="20"/>
              </w:rPr>
              <w:t xml:space="preserve">Any actual or alleged act, error, omission, misleading statement, breach of duty, breach of trust, or breach of any statutory or regulatory obligation, committed by an insured person in their capacity as a director or officer of the company.</w:t>
            </w:r>
          </w:p>
        </w:tc>
      </w:tr>
    </w:tbl>
    <w:p>
      <w:pPr>
        <w:pStyle w:val="Heading1"/>
        <w:pageBreakBefore/>
        <w:pBdr>
          <w:bottom w:val="single" w:color="E2D9C8" w:sz="6"/>
        </w:pBdr>
        <w:spacing w:after="160" w:before="360"/>
      </w:pPr>
      <w:r>
        <w:rPr>
          <w:rFonts w:ascii="Calibri" w:cs="Calibri" w:eastAsia="Calibri" w:hAnsi="Calibri"/>
          <w:b/>
          <w:bCs/>
          <w:color w:val="1C1915"/>
          <w:sz w:val="30"/>
          <w:szCs w:val="30"/>
        </w:rPr>
        <w:t xml:space="preserve">2. What Is Covered</w:t>
      </w:r>
    </w:p>
    <w:p>
      <w:pPr>
        <w:pStyle w:val="Heading2"/>
        <w:spacing w:after="100" w:before="240"/>
      </w:pPr>
      <w:r>
        <w:rPr>
          <w:rFonts w:ascii="Calibri" w:cs="Calibri" w:eastAsia="Calibri" w:hAnsi="Calibri"/>
          <w:b/>
          <w:bCs/>
          <w:color w:val="1C1915"/>
          <w:sz w:val="24"/>
          <w:szCs w:val="24"/>
        </w:rPr>
        <w:t xml:space="preserve">2.1 Excess Cover — Non-Indemnifiable Loss</w:t>
      </w:r>
    </w:p>
    <w:p>
      <w:pPr>
        <w:spacing w:after="160"/>
        <w:jc w:val="both"/>
      </w:pPr>
      <w:r>
        <w:rPr>
          <w:rFonts w:ascii="Calibri" w:cs="Calibri" w:eastAsia="Calibri" w:hAnsi="Calibri"/>
          <w:i w:val="false"/>
          <w:iCs w:val="false"/>
          <w:sz w:val="21"/>
          <w:szCs w:val="21"/>
        </w:rPr>
        <w:t xml:space="preserve">If a claim is first made against an insured person during the policy period for a wrongful act committed on or after the retroactive date, and the claim results in a non-indemnifiable loss that exceeds the attachment point, we will pay the insured person's loss in excess of the attachment point, up to the limit of liability of this policy.</w:t>
      </w:r>
    </w:p>
    <w:p>
      <w:pPr>
        <w:pStyle w:val="Heading2"/>
        <w:spacing w:after="100" w:before="240"/>
      </w:pPr>
      <w:r>
        <w:rPr>
          <w:rFonts w:ascii="Calibri" w:cs="Calibri" w:eastAsia="Calibri" w:hAnsi="Calibri"/>
          <w:b/>
          <w:bCs/>
          <w:color w:val="1C1915"/>
          <w:sz w:val="24"/>
          <w:szCs w:val="24"/>
        </w:rPr>
        <w:t xml:space="preserve">2.2 Excess Cover — Exhaustion of Underlying</w:t>
      </w:r>
    </w:p>
    <w:p>
      <w:pPr>
        <w:spacing w:after="160"/>
        <w:jc w:val="both"/>
      </w:pPr>
      <w:r>
        <w:rPr>
          <w:rFonts w:ascii="Calibri" w:cs="Calibri" w:eastAsia="Calibri" w:hAnsi="Calibri"/>
          <w:i w:val="false"/>
          <w:iCs w:val="false"/>
          <w:sz w:val="21"/>
          <w:szCs w:val="21"/>
        </w:rPr>
        <w:t xml:space="preserve">If the underlying D&amp;O insurance is exhausted by payments (whether for indemnifiable or non-indemnifiable losses), and a further claim is made against an insured person for a wrongful act committed on or after the retroactive date that results in a non-indemnifiable loss, this policy will respond to the insured person's personal loss above the exhausted underlying limit.</w:t>
      </w:r>
    </w:p>
    <w:p>
      <w:pPr>
        <w:pStyle w:val="Heading2"/>
        <w:spacing w:after="100" w:before="240"/>
      </w:pPr>
      <w:r>
        <w:rPr>
          <w:rFonts w:ascii="Calibri" w:cs="Calibri" w:eastAsia="Calibri" w:hAnsi="Calibri"/>
          <w:b/>
          <w:bCs/>
          <w:color w:val="1C1915"/>
          <w:sz w:val="24"/>
          <w:szCs w:val="24"/>
        </w:rPr>
        <w:t xml:space="preserve">2.3 Difference in Conditions (DIC) — Drop Down</w:t>
      </w:r>
    </w:p>
    <w:p>
      <w:pPr>
        <w:spacing w:after="160"/>
        <w:jc w:val="both"/>
      </w:pPr>
      <w:r>
        <w:rPr>
          <w:rFonts w:ascii="Calibri" w:cs="Calibri" w:eastAsia="Calibri" w:hAnsi="Calibri"/>
          <w:i w:val="false"/>
          <w:iCs w:val="false"/>
          <w:sz w:val="21"/>
          <w:szCs w:val="21"/>
        </w:rPr>
        <w:t xml:space="preserve">DIC drop-down cover under this Section 2.3 is a core, unconditional feature of this policy. It applies automatically to every insured person and is not contingent on any election, toggle, or activation in the schedule. The schedule may specify additional or broadened DIC triggers under Endorsement E07; those additional triggers apply in addition to, and do not narrow or condition, the triggers set out below.</w:t>
      </w:r>
    </w:p>
    <w:p>
      <w:pPr>
        <w:spacing w:after="160"/>
        <w:jc w:val="both"/>
      </w:pPr>
      <w:r>
        <w:rPr>
          <w:rFonts w:ascii="Calibri" w:cs="Calibri" w:eastAsia="Calibri" w:hAnsi="Calibri"/>
          <w:i w:val="false"/>
          <w:iCs w:val="false"/>
          <w:sz w:val="21"/>
          <w:szCs w:val="21"/>
        </w:rPr>
        <w:t xml:space="preserve">This policy will drop down and respond from the DIC self-insured retention shown in the schedule (which may be nil, i.e. ground-up cover) to cover an insured person's non-indemnifiable loss arising from a wrongful act committed on or after the retroactive date, if the underlying D&amp;O insurance fails to respond for any of the following reasons:</w:t>
      </w:r>
    </w:p>
    <w:p>
      <w:pPr>
        <w:pStyle w:val="Heading2"/>
        <w:spacing w:after="100" w:before="240"/>
      </w:pPr>
      <w:r>
        <w:rPr>
          <w:rFonts w:ascii="Calibri" w:cs="Calibri" w:eastAsia="Calibri" w:hAnsi="Calibri"/>
          <w:b/>
          <w:bCs/>
          <w:color w:val="1C1915"/>
          <w:sz w:val="24"/>
          <w:szCs w:val="24"/>
        </w:rPr>
        <w:t xml:space="preserve">2.3.1 Insolvency of the Company</w:t>
      </w:r>
    </w:p>
    <w:p>
      <w:pPr>
        <w:spacing w:after="160"/>
        <w:jc w:val="both"/>
      </w:pPr>
      <w:r>
        <w:rPr>
          <w:rFonts w:ascii="Calibri" w:cs="Calibri" w:eastAsia="Calibri" w:hAnsi="Calibri"/>
          <w:i w:val="false"/>
          <w:iCs w:val="false"/>
          <w:sz w:val="21"/>
          <w:szCs w:val="21"/>
        </w:rPr>
        <w:t xml:space="preserve">The company is insolvent, in liquidation, administration, receivership, voluntary administration, or a deed of company arrangement, and is unable to fund the insured person's defence or indemnify the insured person's liability. This is the core purpose of Side A DIC cover. When the company fails, the directors and officers are often the targets of claims by liquidators, creditors, and regulators — precisely when they are most exposed and least able to fund their own defence.</w:t>
      </w:r>
    </w:p>
    <w:p>
      <w:pPr>
        <w:pStyle w:val="Heading2"/>
        <w:spacing w:after="100" w:before="240"/>
      </w:pPr>
      <w:r>
        <w:rPr>
          <w:rFonts w:ascii="Calibri" w:cs="Calibri" w:eastAsia="Calibri" w:hAnsi="Calibri"/>
          <w:b/>
          <w:bCs/>
          <w:color w:val="1C1915"/>
          <w:sz w:val="24"/>
          <w:szCs w:val="24"/>
        </w:rPr>
        <w:t xml:space="preserve">2.3.2 Insolvency of the Underlying Insurer</w:t>
      </w:r>
    </w:p>
    <w:p>
      <w:pPr>
        <w:spacing w:after="160"/>
        <w:jc w:val="both"/>
      </w:pPr>
      <w:r>
        <w:rPr>
          <w:rFonts w:ascii="Calibri" w:cs="Calibri" w:eastAsia="Calibri" w:hAnsi="Calibri"/>
          <w:i w:val="false"/>
          <w:iCs w:val="false"/>
          <w:sz w:val="21"/>
          <w:szCs w:val="21"/>
        </w:rPr>
        <w:t xml:space="preserve">The insurer that issued the underlying D&amp;O insurance is or becomes insolvent, is placed into liquidation, or is otherwise unable to pay.</w:t>
      </w:r>
    </w:p>
    <w:p>
      <w:pPr>
        <w:pStyle w:val="Heading2"/>
        <w:spacing w:after="100" w:before="240"/>
      </w:pPr>
      <w:r>
        <w:rPr>
          <w:rFonts w:ascii="Calibri" w:cs="Calibri" w:eastAsia="Calibri" w:hAnsi="Calibri"/>
          <w:b/>
          <w:bCs/>
          <w:color w:val="1C1915"/>
          <w:sz w:val="24"/>
          <w:szCs w:val="24"/>
        </w:rPr>
        <w:t xml:space="preserve">2.3.3 Aggregate Exhaustion of Underlying</w:t>
      </w:r>
    </w:p>
    <w:p>
      <w:pPr>
        <w:spacing w:after="160"/>
        <w:jc w:val="both"/>
      </w:pPr>
      <w:r>
        <w:rPr>
          <w:rFonts w:ascii="Calibri" w:cs="Calibri" w:eastAsia="Calibri" w:hAnsi="Calibri"/>
          <w:i w:val="false"/>
          <w:iCs w:val="false"/>
          <w:sz w:val="21"/>
          <w:szCs w:val="21"/>
        </w:rPr>
        <w:t xml:space="preserve">The aggregate limit of the underlying D&amp;O insurance has been exhausted by prior claims during the same policy period.</w:t>
      </w:r>
    </w:p>
    <w:p>
      <w:pPr>
        <w:pStyle w:val="Heading2"/>
        <w:spacing w:after="100" w:before="240"/>
      </w:pPr>
      <w:r>
        <w:rPr>
          <w:rFonts w:ascii="Calibri" w:cs="Calibri" w:eastAsia="Calibri" w:hAnsi="Calibri"/>
          <w:b/>
          <w:bCs/>
          <w:color w:val="1C1915"/>
          <w:sz w:val="24"/>
          <w:szCs w:val="24"/>
        </w:rPr>
        <w:t xml:space="preserve">2.3.4 Coverage Denial by Underlying Insurer</w:t>
      </w:r>
    </w:p>
    <w:p>
      <w:pPr>
        <w:spacing w:after="160"/>
        <w:jc w:val="both"/>
      </w:pPr>
      <w:r>
        <w:rPr>
          <w:rFonts w:ascii="Calibri" w:cs="Calibri" w:eastAsia="Calibri" w:hAnsi="Calibri"/>
          <w:i w:val="false"/>
          <w:iCs w:val="false"/>
          <w:sz w:val="21"/>
          <w:szCs w:val="21"/>
        </w:rPr>
        <w:t xml:space="preserve">The insurer that issued the underlying D&amp;O insurance denies or rescinds cover for the claim under the underlying D&amp;O insurance, and the denial or rescission is based on: (a) a breach of the duty of disclosure or a misrepresentation in the application for the underlying D&amp;O insurance — but only where the breach or misrepresentation was made without the knowledge of the insured person seeking cover under this policy; (b) a failure by the company (not the insured person) to comply with a condition of the underlying D&amp;O insurance; (c) an exclusion in the underlying D&amp;O insurance that does not appear in this policy; or (d) a severability or imputation provision in the underlying D&amp;O insurance that attributes the knowledge or conduct of one insured person to another innocent insured person.</w:t>
      </w:r>
    </w:p>
    <w:p>
      <w:pPr>
        <w:pStyle w:val="Heading2"/>
        <w:spacing w:after="100" w:before="240"/>
      </w:pPr>
      <w:r>
        <w:rPr>
          <w:rFonts w:ascii="Calibri" w:cs="Calibri" w:eastAsia="Calibri" w:hAnsi="Calibri"/>
          <w:b/>
          <w:bCs/>
          <w:color w:val="1C1915"/>
          <w:sz w:val="24"/>
          <w:szCs w:val="24"/>
        </w:rPr>
        <w:t xml:space="preserve">2.3.5 Cancellation of Underlying</w:t>
      </w:r>
    </w:p>
    <w:p>
      <w:pPr>
        <w:spacing w:after="160"/>
        <w:jc w:val="both"/>
      </w:pPr>
      <w:r>
        <w:rPr>
          <w:rFonts w:ascii="Calibri" w:cs="Calibri" w:eastAsia="Calibri" w:hAnsi="Calibri"/>
          <w:i w:val="false"/>
          <w:iCs w:val="false"/>
          <w:sz w:val="21"/>
          <w:szCs w:val="21"/>
        </w:rPr>
        <w:t xml:space="preserve">The underlying D&amp;O insurance is cancelled or not renewed (other than by the company for non-payment of premium), and the company has been unable to obtain replacement cover on substantially similar terms.</w:t>
      </w:r>
    </w:p>
    <w:p>
      <w:pPr>
        <w:pStyle w:val="Heading2"/>
        <w:spacing w:after="100" w:before="240"/>
      </w:pPr>
      <w:r>
        <w:rPr>
          <w:rFonts w:ascii="Calibri" w:cs="Calibri" w:eastAsia="Calibri" w:hAnsi="Calibri"/>
          <w:b/>
          <w:bCs/>
          <w:color w:val="1C1915"/>
          <w:sz w:val="24"/>
          <w:szCs w:val="24"/>
        </w:rPr>
        <w:t xml:space="preserve">2.4 What DIC Does Not Cover</w:t>
      </w:r>
    </w:p>
    <w:p>
      <w:pPr>
        <w:spacing w:after="160"/>
        <w:jc w:val="both"/>
      </w:pPr>
      <w:r>
        <w:rPr>
          <w:rFonts w:ascii="Calibri" w:cs="Calibri" w:eastAsia="Calibri" w:hAnsi="Calibri"/>
          <w:i w:val="false"/>
          <w:iCs w:val="false"/>
          <w:sz w:val="21"/>
          <w:szCs w:val="21"/>
        </w:rPr>
        <w:t xml:space="preserve">DIC drop-down does not apply if:</w:t>
      </w:r>
    </w:p>
    <w:p>
      <w:pPr>
        <w:spacing w:after="160"/>
        <w:jc w:val="both"/>
      </w:pPr>
      <w:r>
        <w:rPr>
          <w:rFonts w:ascii="Calibri" w:cs="Calibri" w:eastAsia="Calibri" w:hAnsi="Calibri"/>
          <w:i w:val="false"/>
          <w:iCs w:val="false"/>
          <w:sz w:val="21"/>
          <w:szCs w:val="21"/>
        </w:rPr>
        <w:t xml:space="preserve">(a) the underlying D&amp;O insurance denies the claim because it falls within an exclusion that also appears in this policy (for example, dishonesty established by final adjudication);</w:t>
      </w:r>
    </w:p>
    <w:p>
      <w:pPr>
        <w:spacing w:after="160"/>
        <w:jc w:val="both"/>
      </w:pPr>
      <w:r>
        <w:rPr>
          <w:rFonts w:ascii="Calibri" w:cs="Calibri" w:eastAsia="Calibri" w:hAnsi="Calibri"/>
          <w:i w:val="false"/>
          <w:iCs w:val="false"/>
          <w:sz w:val="21"/>
          <w:szCs w:val="21"/>
        </w:rPr>
        <w:t xml:space="preserve">(b) the insured person seeking cover under this policy personally participated in the conduct that caused the denial of cover under the underlying D&amp;O insurance; or</w:t>
      </w:r>
    </w:p>
    <w:p>
      <w:pPr>
        <w:spacing w:after="160"/>
        <w:jc w:val="both"/>
      </w:pPr>
      <w:r>
        <w:rPr>
          <w:rFonts w:ascii="Calibri" w:cs="Calibri" w:eastAsia="Calibri" w:hAnsi="Calibri"/>
          <w:i w:val="false"/>
          <w:iCs w:val="false"/>
          <w:sz w:val="21"/>
          <w:szCs w:val="21"/>
        </w:rPr>
        <w:t xml:space="preserve">(c) the company has voluntarily cancelled the underlying D&amp;O insurance and the insured person knew of the cancellation but did not notify us.</w:t>
      </w:r>
    </w:p>
    <w:p>
      <w:pPr>
        <w:pStyle w:val="Heading2"/>
        <w:spacing w:after="100" w:before="240"/>
      </w:pPr>
      <w:r>
        <w:rPr>
          <w:rFonts w:ascii="Calibri" w:cs="Calibri" w:eastAsia="Calibri" w:hAnsi="Calibri"/>
          <w:b/>
          <w:bCs/>
          <w:color w:val="1C1915"/>
          <w:sz w:val="24"/>
          <w:szCs w:val="24"/>
        </w:rPr>
        <w:t xml:space="preserve">2.5 Priority and Independence</w:t>
      </w:r>
    </w:p>
    <w:p>
      <w:pPr>
        <w:spacing w:after="160"/>
        <w:jc w:val="both"/>
      </w:pPr>
      <w:r>
        <w:rPr>
          <w:rFonts w:ascii="Calibri" w:cs="Calibri" w:eastAsia="Calibri" w:hAnsi="Calibri"/>
          <w:i w:val="false"/>
          <w:iCs w:val="false"/>
          <w:sz w:val="21"/>
          <w:szCs w:val="21"/>
        </w:rPr>
        <w:t xml:space="preserve">This policy is for the exclusive benefit of individual insured persons. The company has no right to claim under this policy and cannot direct, control, or assign the benefits of this policy.</w:t>
      </w:r>
    </w:p>
    <w:p>
      <w:pPr>
        <w:spacing w:after="160"/>
        <w:jc w:val="both"/>
      </w:pPr>
      <w:r>
        <w:rPr>
          <w:rFonts w:ascii="Calibri" w:cs="Calibri" w:eastAsia="Calibri" w:hAnsi="Calibri"/>
          <w:i w:val="false"/>
          <w:iCs w:val="false"/>
          <w:sz w:val="21"/>
          <w:szCs w:val="21"/>
        </w:rPr>
        <w:t xml:space="preserve">If the company is in liquidation, administration, or receivership: (a) no liquidator, administrator, receiver, or creditor of the company has any right to access, assign, or claim the proceeds of this policy; (b) no court order or statutory charge against the company's assets affects the proceeds of this policy, because the proceeds belong to the insured person, not the company; and (c) we will pay the insured person directly — not through the company.</w:t>
      </w:r>
    </w:p>
    <w:p>
      <w:pPr>
        <w:pStyle w:val="Heading2"/>
        <w:spacing w:after="100" w:before="240"/>
      </w:pPr>
      <w:r>
        <w:rPr>
          <w:rFonts w:ascii="Calibri" w:cs="Calibri" w:eastAsia="Calibri" w:hAnsi="Calibri"/>
          <w:b/>
          <w:bCs/>
          <w:color w:val="1C1915"/>
          <w:sz w:val="24"/>
          <w:szCs w:val="24"/>
        </w:rPr>
        <w:t xml:space="preserve">2.6 Presumptive Indemnification</w:t>
      </w:r>
    </w:p>
    <w:p>
      <w:pPr>
        <w:spacing w:after="160"/>
        <w:jc w:val="both"/>
      </w:pPr>
      <w:r>
        <w:rPr>
          <w:rFonts w:ascii="Calibri" w:cs="Calibri" w:eastAsia="Calibri" w:hAnsi="Calibri"/>
          <w:i w:val="false"/>
          <w:iCs w:val="false"/>
          <w:sz w:val="21"/>
          <w:szCs w:val="21"/>
        </w:rPr>
        <w:t xml:space="preserve">For the purpose of determining whether a loss is a non-indemnifiable loss, it is presumed, unless we prove otherwise, that the company is legally permitted and financially able to indemnify the insured person for the loss. This presumption may be rebutted only by evidence establishing that the company is not legally permitted, or is not financially able, to indemnify the loss (for example, evidence of insolvency, liquidation, administration, receivership, or a deed of company arrangement).</w:t>
      </w:r>
    </w:p>
    <w:p>
      <w:pPr>
        <w:spacing w:after="160"/>
        <w:jc w:val="both"/>
      </w:pPr>
      <w:r>
        <w:rPr>
          <w:rFonts w:ascii="Calibri" w:cs="Calibri" w:eastAsia="Calibri" w:hAnsi="Calibri"/>
          <w:i w:val="false"/>
          <w:iCs w:val="false"/>
          <w:sz w:val="21"/>
          <w:szCs w:val="21"/>
        </w:rPr>
        <w:t xml:space="preserve">Uncertainty as to whether the company is legally permitted or financially able to indemnify does not, by itself, entitle us to withhold or delay advancement of defence costs or payment of loss under this policy.</w:t>
      </w:r>
    </w:p>
    <w:p>
      <w:pPr>
        <w:pStyle w:val="Heading1"/>
        <w:pageBreakBefore/>
        <w:pBdr>
          <w:bottom w:val="single" w:color="E2D9C8" w:sz="6"/>
        </w:pBdr>
        <w:spacing w:after="160" w:before="360"/>
      </w:pPr>
      <w:r>
        <w:rPr>
          <w:rFonts w:ascii="Calibri" w:cs="Calibri" w:eastAsia="Calibri" w:hAnsi="Calibri"/>
          <w:b/>
          <w:bCs/>
          <w:color w:val="1C1915"/>
          <w:sz w:val="30"/>
          <w:szCs w:val="30"/>
        </w:rPr>
        <w:t xml:space="preserve">3. Extensions of Cover</w:t>
      </w:r>
    </w:p>
    <w:p>
      <w:pPr>
        <w:pStyle w:val="Heading2"/>
        <w:spacing w:after="100" w:before="240"/>
      </w:pPr>
      <w:r>
        <w:rPr>
          <w:rFonts w:ascii="Calibri" w:cs="Calibri" w:eastAsia="Calibri" w:hAnsi="Calibri"/>
          <w:b/>
          <w:bCs/>
          <w:color w:val="1C1915"/>
          <w:sz w:val="24"/>
          <w:szCs w:val="24"/>
        </w:rPr>
        <w:t xml:space="preserve">3.1 Advancement of Defence Costs</w:t>
      </w:r>
    </w:p>
    <w:p>
      <w:pPr>
        <w:spacing w:after="160"/>
        <w:jc w:val="both"/>
      </w:pPr>
      <w:r>
        <w:rPr>
          <w:rFonts w:ascii="Calibri" w:cs="Calibri" w:eastAsia="Calibri" w:hAnsi="Calibri"/>
          <w:i w:val="false"/>
          <w:iCs w:val="false"/>
          <w:sz w:val="21"/>
          <w:szCs w:val="21"/>
        </w:rPr>
        <w:t xml:space="preserve">We will advance defence costs to an insured person immediately upon request, without waiting for the underlying D&amp;O insurance to respond or be exhausted, and without waiting for any determination of whether the loss is a non-indemnifiable loss.</w:t>
      </w:r>
    </w:p>
    <w:p>
      <w:pPr>
        <w:spacing w:after="160"/>
        <w:jc w:val="both"/>
      </w:pPr>
      <w:r>
        <w:rPr>
          <w:rFonts w:ascii="Calibri" w:cs="Calibri" w:eastAsia="Calibri" w:hAnsi="Calibri"/>
          <w:i w:val="false"/>
          <w:iCs w:val="false"/>
          <w:sz w:val="21"/>
          <w:szCs w:val="21"/>
        </w:rPr>
        <w:t xml:space="preserve">If it is later determined that the loss falls within the underlying D&amp;O insurance and should have been paid by the underlying insurer, the insured person must repay the advanced defence costs to us — but only if and when the underlying insurer actually pays.</w:t>
      </w:r>
    </w:p>
    <w:p>
      <w:pPr>
        <w:spacing w:after="160"/>
        <w:jc w:val="both"/>
      </w:pPr>
      <w:r>
        <w:rPr>
          <w:rFonts w:ascii="Calibri" w:cs="Calibri" w:eastAsia="Calibri" w:hAnsi="Calibri"/>
          <w:i w:val="false"/>
          <w:iCs w:val="false"/>
          <w:sz w:val="21"/>
          <w:szCs w:val="21"/>
        </w:rPr>
        <w:t xml:space="preserve">If the company later indemnifies the insured person for the same loss (including, for example, from funds recovered in an insolvency, liquidation, administration, receivership, or deed of company arrangement), the insured person must repay to us the defence costs or other amounts we have paid under this policy for that loss, to the extent of the indemnification received, so that there is no double recovery.</w:t>
      </w:r>
    </w:p>
    <w:p>
      <w:pPr>
        <w:pStyle w:val="Heading2"/>
        <w:spacing w:after="100" w:before="240"/>
      </w:pPr>
      <w:r>
        <w:rPr>
          <w:rFonts w:ascii="Calibri" w:cs="Calibri" w:eastAsia="Calibri" w:hAnsi="Calibri"/>
          <w:b/>
          <w:bCs/>
          <w:color w:val="1C1915"/>
          <w:sz w:val="24"/>
          <w:szCs w:val="24"/>
        </w:rPr>
        <w:t xml:space="preserve">3.2 Retired Directors and Officers</w:t>
      </w:r>
    </w:p>
    <w:p>
      <w:pPr>
        <w:spacing w:after="160"/>
        <w:jc w:val="both"/>
      </w:pPr>
      <w:r>
        <w:rPr>
          <w:rFonts w:ascii="Calibri" w:cs="Calibri" w:eastAsia="Calibri" w:hAnsi="Calibri"/>
          <w:i w:val="false"/>
          <w:iCs w:val="false"/>
          <w:sz w:val="21"/>
          <w:szCs w:val="21"/>
        </w:rPr>
        <w:t xml:space="preserve">If an insured person ceases to hold office during or before the policy period (for any reason other than disqualification by a court), this policy continues to cover claims first made against them for 72 months after the end of the policy period, at no additional premium.</w:t>
      </w:r>
    </w:p>
    <w:p>
      <w:pPr>
        <w:spacing w:after="160"/>
        <w:jc w:val="both"/>
      </w:pPr>
      <w:r>
        <w:rPr>
          <w:rFonts w:ascii="Calibri" w:cs="Calibri" w:eastAsia="Calibri" w:hAnsi="Calibri"/>
          <w:i w:val="false"/>
          <w:iCs w:val="false"/>
          <w:sz w:val="21"/>
          <w:szCs w:val="21"/>
        </w:rPr>
        <w:t xml:space="preserve">Unlimited, non-cancellable lifetime run-off for genuinely retired directors and officers is available under Endorsement E06, on payment of the additional premium shown in the schedule for that endorsement.</w:t>
      </w:r>
    </w:p>
    <w:p>
      <w:pPr>
        <w:pStyle w:val="Heading2"/>
        <w:spacing w:after="100" w:before="240"/>
      </w:pPr>
      <w:r>
        <w:rPr>
          <w:rFonts w:ascii="Calibri" w:cs="Calibri" w:eastAsia="Calibri" w:hAnsi="Calibri"/>
          <w:b/>
          <w:bCs/>
          <w:color w:val="1C1915"/>
          <w:sz w:val="24"/>
          <w:szCs w:val="24"/>
        </w:rPr>
        <w:t xml:space="preserve">3.3 New Directors and Officers</w:t>
      </w:r>
    </w:p>
    <w:p>
      <w:pPr>
        <w:spacing w:after="160"/>
        <w:jc w:val="both"/>
      </w:pPr>
      <w:r>
        <w:rPr>
          <w:rFonts w:ascii="Calibri" w:cs="Calibri" w:eastAsia="Calibri" w:hAnsi="Calibri"/>
          <w:i w:val="false"/>
          <w:iCs w:val="false"/>
          <w:sz w:val="21"/>
          <w:szCs w:val="21"/>
        </w:rPr>
        <w:t xml:space="preserve">Any person who becomes an insured person during the policy period is automatically covered from the date they take office.</w:t>
      </w:r>
    </w:p>
    <w:p>
      <w:pPr>
        <w:pStyle w:val="Heading2"/>
        <w:spacing w:after="100" w:before="240"/>
      </w:pPr>
      <w:r>
        <w:rPr>
          <w:rFonts w:ascii="Calibri" w:cs="Calibri" w:eastAsia="Calibri" w:hAnsi="Calibri"/>
          <w:b/>
          <w:bCs/>
          <w:color w:val="1C1915"/>
          <w:sz w:val="24"/>
          <w:szCs w:val="24"/>
        </w:rPr>
        <w:t xml:space="preserve">3.4 Regulatory Investigation Costs</w:t>
      </w:r>
    </w:p>
    <w:p>
      <w:pPr>
        <w:spacing w:after="160"/>
        <w:jc w:val="both"/>
      </w:pPr>
      <w:r>
        <w:rPr>
          <w:rFonts w:ascii="Calibri" w:cs="Calibri" w:eastAsia="Calibri" w:hAnsi="Calibri"/>
          <w:i w:val="false"/>
          <w:iCs w:val="false"/>
          <w:sz w:val="21"/>
          <w:szCs w:val="21"/>
        </w:rPr>
        <w:t xml:space="preserve">We will pay an insured person's defence costs in responding to a formal investigation or examination by a Regulator — even before a claim has been made.</w:t>
      </w:r>
    </w:p>
    <w:p>
      <w:pPr>
        <w:pStyle w:val="Heading2"/>
        <w:spacing w:after="100" w:before="240"/>
      </w:pPr>
      <w:r>
        <w:rPr>
          <w:rFonts w:ascii="Calibri" w:cs="Calibri" w:eastAsia="Calibri" w:hAnsi="Calibri"/>
          <w:b/>
          <w:bCs/>
          <w:color w:val="1C1915"/>
          <w:sz w:val="24"/>
          <w:szCs w:val="24"/>
        </w:rPr>
        <w:t xml:space="preserve">3.5 Extradition Defence Costs</w:t>
      </w:r>
    </w:p>
    <w:p>
      <w:pPr>
        <w:spacing w:after="160"/>
        <w:jc w:val="both"/>
      </w:pPr>
      <w:r>
        <w:rPr>
          <w:rFonts w:ascii="Calibri" w:cs="Calibri" w:eastAsia="Calibri" w:hAnsi="Calibri"/>
          <w:i w:val="false"/>
          <w:iCs w:val="false"/>
          <w:sz w:val="21"/>
          <w:szCs w:val="21"/>
        </w:rPr>
        <w:t xml:space="preserve">If an insured person faces extradition proceedings in connection with a wrongful act, we will pay their defence costs in resisting extradition.</w:t>
      </w:r>
    </w:p>
    <w:p>
      <w:pPr>
        <w:pStyle w:val="Heading2"/>
        <w:spacing w:after="100" w:before="240"/>
      </w:pPr>
      <w:r>
        <w:rPr>
          <w:rFonts w:ascii="Calibri" w:cs="Calibri" w:eastAsia="Calibri" w:hAnsi="Calibri"/>
          <w:b/>
          <w:bCs/>
          <w:color w:val="1C1915"/>
          <w:sz w:val="24"/>
          <w:szCs w:val="24"/>
        </w:rPr>
        <w:t xml:space="preserve">3.6 Bail and Civil Bond Costs</w:t>
      </w:r>
    </w:p>
    <w:p>
      <w:pPr>
        <w:spacing w:after="160"/>
        <w:jc w:val="both"/>
      </w:pPr>
      <w:r>
        <w:rPr>
          <w:rFonts w:ascii="Calibri" w:cs="Calibri" w:eastAsia="Calibri" w:hAnsi="Calibri"/>
          <w:i w:val="false"/>
          <w:iCs w:val="false"/>
          <w:sz w:val="21"/>
          <w:szCs w:val="21"/>
        </w:rPr>
        <w:t xml:space="preserve">If an insured person is required to post bail or a civil bond in connection with a claim covered by this policy, we will advance the cost of the bail or bond. The insured person must repay this amount if the bail or bond is refunded.</w:t>
      </w:r>
    </w:p>
    <w:p>
      <w:pPr>
        <w:pStyle w:val="Heading2"/>
        <w:spacing w:after="100" w:before="240"/>
      </w:pPr>
      <w:r>
        <w:rPr>
          <w:rFonts w:ascii="Calibri" w:cs="Calibri" w:eastAsia="Calibri" w:hAnsi="Calibri"/>
          <w:b/>
          <w:bCs/>
          <w:color w:val="1C1915"/>
          <w:sz w:val="24"/>
          <w:szCs w:val="24"/>
        </w:rPr>
        <w:t xml:space="preserve">3.7 Preservation of Assets Costs</w:t>
      </w:r>
    </w:p>
    <w:p>
      <w:pPr>
        <w:spacing w:after="160"/>
        <w:jc w:val="both"/>
      </w:pPr>
      <w:r>
        <w:rPr>
          <w:rFonts w:ascii="Calibri" w:cs="Calibri" w:eastAsia="Calibri" w:hAnsi="Calibri"/>
          <w:i w:val="false"/>
          <w:iCs w:val="false"/>
          <w:sz w:val="21"/>
          <w:szCs w:val="21"/>
        </w:rPr>
        <w:t xml:space="preserve">If a court order freezes or restrains the personal assets of an insured person in connection with a claim covered by this policy, we will pay the insured person's legal costs in seeking to vary or discharge the order, and will advance reasonable living expenses during the period the assets are frozen.</w:t>
      </w:r>
    </w:p>
    <w:p>
      <w:pPr>
        <w:pStyle w:val="Heading2"/>
        <w:spacing w:after="100" w:before="240"/>
      </w:pPr>
      <w:r>
        <w:rPr>
          <w:rFonts w:ascii="Calibri" w:cs="Calibri" w:eastAsia="Calibri" w:hAnsi="Calibri"/>
          <w:b/>
          <w:bCs/>
          <w:color w:val="1C1915"/>
          <w:sz w:val="24"/>
          <w:szCs w:val="24"/>
        </w:rPr>
        <w:t xml:space="preserve">3.8 Public Relations</w:t>
      </w:r>
    </w:p>
    <w:p>
      <w:pPr>
        <w:spacing w:after="160"/>
        <w:jc w:val="both"/>
      </w:pPr>
      <w:r>
        <w:rPr>
          <w:rFonts w:ascii="Calibri" w:cs="Calibri" w:eastAsia="Calibri" w:hAnsi="Calibri"/>
          <w:i w:val="false"/>
          <w:iCs w:val="false"/>
          <w:sz w:val="21"/>
          <w:szCs w:val="21"/>
        </w:rPr>
        <w:t xml:space="preserve">Following a claim covered by this policy, we will pay the reasonable costs of a public relations consultant to protect or restore an insured person's personal reputation.</w:t>
      </w:r>
    </w:p>
    <w:p>
      <w:pPr>
        <w:pStyle w:val="Heading2"/>
        <w:spacing w:after="100" w:before="240"/>
      </w:pPr>
      <w:r>
        <w:rPr>
          <w:rFonts w:ascii="Calibri" w:cs="Calibri" w:eastAsia="Calibri" w:hAnsi="Calibri"/>
          <w:b/>
          <w:bCs/>
          <w:color w:val="1C1915"/>
          <w:sz w:val="24"/>
          <w:szCs w:val="24"/>
        </w:rPr>
        <w:t xml:space="preserve">3.9 Tax Advisory Costs</w:t>
      </w:r>
    </w:p>
    <w:p>
      <w:pPr>
        <w:spacing w:after="160"/>
        <w:jc w:val="both"/>
      </w:pPr>
      <w:r>
        <w:rPr>
          <w:rFonts w:ascii="Calibri" w:cs="Calibri" w:eastAsia="Calibri" w:hAnsi="Calibri"/>
          <w:i w:val="false"/>
          <w:iCs w:val="false"/>
          <w:sz w:val="21"/>
          <w:szCs w:val="21"/>
        </w:rPr>
        <w:t xml:space="preserve">If an insured person incurs a personal tax liability as a direct result of a payment under this policy, we will pay the reasonable costs of tax advice in connection with that liability.</w:t>
      </w:r>
    </w:p>
    <w:p>
      <w:pPr>
        <w:pStyle w:val="Heading1"/>
        <w:pageBreakBefore/>
        <w:pBdr>
          <w:bottom w:val="single" w:color="E2D9C8" w:sz="6"/>
        </w:pBdr>
        <w:spacing w:after="160" w:before="360"/>
      </w:pPr>
      <w:r>
        <w:rPr>
          <w:rFonts w:ascii="Calibri" w:cs="Calibri" w:eastAsia="Calibri" w:hAnsi="Calibri"/>
          <w:b/>
          <w:bCs/>
          <w:color w:val="1C1915"/>
          <w:sz w:val="30"/>
          <w:szCs w:val="30"/>
        </w:rPr>
        <w:t xml:space="preserve">4. What Is Not Covered</w:t>
      </w:r>
    </w:p>
    <w:p>
      <w:pPr>
        <w:spacing w:after="160"/>
        <w:jc w:val="both"/>
      </w:pPr>
      <w:r>
        <w:rPr>
          <w:rFonts w:ascii="Calibri" w:cs="Calibri" w:eastAsia="Calibri" w:hAnsi="Calibri"/>
          <w:i w:val="false"/>
          <w:iCs w:val="false"/>
          <w:sz w:val="21"/>
          <w:szCs w:val="21"/>
        </w:rPr>
        <w:t xml:space="preserve">We do not cover any claim or loss:</w:t>
      </w:r>
    </w:p>
    <w:p>
      <w:pPr>
        <w:pStyle w:val="Heading2"/>
        <w:spacing w:after="100" w:before="240"/>
      </w:pPr>
      <w:r>
        <w:rPr>
          <w:rFonts w:ascii="Calibri" w:cs="Calibri" w:eastAsia="Calibri" w:hAnsi="Calibri"/>
          <w:b/>
          <w:bCs/>
          <w:color w:val="1C1915"/>
          <w:sz w:val="24"/>
          <w:szCs w:val="24"/>
        </w:rPr>
        <w:t xml:space="preserve">4.1 Indemnifiable Loss</w:t>
      </w:r>
    </w:p>
    <w:p>
      <w:pPr>
        <w:spacing w:after="160"/>
        <w:jc w:val="both"/>
      </w:pPr>
      <w:r>
        <w:rPr>
          <w:rFonts w:ascii="Calibri" w:cs="Calibri" w:eastAsia="Calibri" w:hAnsi="Calibri"/>
          <w:i w:val="false"/>
          <w:iCs w:val="false"/>
          <w:sz w:val="21"/>
          <w:szCs w:val="21"/>
        </w:rPr>
        <w:t xml:space="preserve">that the company has actually indemnified, or is obligated to and financially able to indemnify, under any deed of indemnity, the company's constitution, or applicable law.</w:t>
      </w:r>
    </w:p>
    <w:p>
      <w:pPr>
        <w:spacing w:after="160"/>
        <w:jc w:val="both"/>
      </w:pPr>
      <w:r>
        <w:rPr>
          <w:rFonts w:ascii="Calibri" w:cs="Calibri" w:eastAsia="Calibri" w:hAnsi="Calibri"/>
          <w:i w:val="false"/>
          <w:iCs w:val="false"/>
          <w:sz w:val="21"/>
          <w:szCs w:val="21"/>
        </w:rPr>
        <w:t xml:space="preserve">This policy covers what the company cannot or will not pay. It does not cover what the company has already paid.</w:t>
      </w:r>
    </w:p>
    <w:p>
      <w:pPr>
        <w:pStyle w:val="Heading2"/>
        <w:spacing w:after="100" w:before="240"/>
      </w:pPr>
      <w:r>
        <w:rPr>
          <w:rFonts w:ascii="Calibri" w:cs="Calibri" w:eastAsia="Calibri" w:hAnsi="Calibri"/>
          <w:b/>
          <w:bCs/>
          <w:color w:val="1C1915"/>
          <w:sz w:val="24"/>
          <w:szCs w:val="24"/>
        </w:rPr>
        <w:t xml:space="preserve">4.2 Dishonesty and Fraud</w:t>
      </w:r>
    </w:p>
    <w:p>
      <w:pPr>
        <w:spacing w:after="160"/>
        <w:jc w:val="both"/>
      </w:pPr>
      <w:r>
        <w:rPr>
          <w:rFonts w:ascii="Calibri" w:cs="Calibri" w:eastAsia="Calibri" w:hAnsi="Calibri"/>
          <w:i w:val="false"/>
          <w:iCs w:val="false"/>
          <w:sz w:val="21"/>
          <w:szCs w:val="21"/>
        </w:rPr>
        <w:t xml:space="preserve">arising from any deliberately dishonest, fraudulent, or criminal conduct of the insured person — but only after final adjudication establishes that the insured person personally committed the dishonest or fraudulent conduct. Until final adjudication, we will continue to advance defence costs. If final adjudication establishes dishonesty, the insured person must repay any defence costs we have advanced for the portion of the claim relating to the established dishonesty.</w:t>
      </w:r>
    </w:p>
    <w:p>
      <w:pPr>
        <w:pStyle w:val="Heading2"/>
        <w:spacing w:after="100" w:before="240"/>
      </w:pPr>
      <w:r>
        <w:rPr>
          <w:rFonts w:ascii="Calibri" w:cs="Calibri" w:eastAsia="Calibri" w:hAnsi="Calibri"/>
          <w:b/>
          <w:bCs/>
          <w:color w:val="1C1915"/>
          <w:sz w:val="24"/>
          <w:szCs w:val="24"/>
        </w:rPr>
        <w:t xml:space="preserve">4.3 Personal Profit</w:t>
      </w:r>
    </w:p>
    <w:p>
      <w:pPr>
        <w:spacing w:after="160"/>
        <w:jc w:val="both"/>
      </w:pPr>
      <w:r>
        <w:rPr>
          <w:rFonts w:ascii="Calibri" w:cs="Calibri" w:eastAsia="Calibri" w:hAnsi="Calibri"/>
          <w:i w:val="false"/>
          <w:iCs w:val="false"/>
          <w:sz w:val="21"/>
          <w:szCs w:val="21"/>
        </w:rPr>
        <w:t xml:space="preserve">for any personal profit, remuneration, or advantage gained by the insured person to which they were not legally entitled — but only after final adjudication establishes that the profit was improperly gained. Until final adjudication, we will continue to advance defence costs, on the same basis as Section 4.2.</w:t>
      </w:r>
    </w:p>
    <w:p>
      <w:pPr>
        <w:pStyle w:val="Heading2"/>
        <w:spacing w:after="100" w:before="240"/>
      </w:pPr>
      <w:r>
        <w:rPr>
          <w:rFonts w:ascii="Calibri" w:cs="Calibri" w:eastAsia="Calibri" w:hAnsi="Calibri"/>
          <w:b/>
          <w:bCs/>
          <w:color w:val="1C1915"/>
          <w:sz w:val="24"/>
          <w:szCs w:val="24"/>
        </w:rPr>
        <w:t xml:space="preserve">4.4 Insured Versus Insured</w:t>
      </w:r>
    </w:p>
    <w:p>
      <w:pPr>
        <w:spacing w:after="160"/>
        <w:jc w:val="both"/>
      </w:pPr>
      <w:r>
        <w:rPr>
          <w:rFonts w:ascii="Calibri" w:cs="Calibri" w:eastAsia="Calibri" w:hAnsi="Calibri"/>
          <w:i w:val="false"/>
          <w:iCs w:val="false"/>
          <w:sz w:val="21"/>
          <w:szCs w:val="21"/>
        </w:rPr>
        <w:t xml:space="preserve">brought by one insured person against another insured person, or by the company against an insured person — except for: (a) a claim brought by a liquidator, administrator, receiver, or equivalent officer; (b) a claim brought by a whistleblower; (c) a claim brought by the company that is funded or directed by an independent third party; and (d) a cross-claim or contribution claim arising from a claim first brought by an independent third party.</w:t>
      </w:r>
    </w:p>
    <w:p>
      <w:pPr>
        <w:pStyle w:val="Heading2"/>
        <w:spacing w:after="100" w:before="240"/>
      </w:pPr>
      <w:r>
        <w:rPr>
          <w:rFonts w:ascii="Calibri" w:cs="Calibri" w:eastAsia="Calibri" w:hAnsi="Calibri"/>
          <w:b/>
          <w:bCs/>
          <w:color w:val="1C1915"/>
          <w:sz w:val="24"/>
          <w:szCs w:val="24"/>
        </w:rPr>
        <w:t xml:space="preserve">4.5 Prior Known Matters</w:t>
      </w:r>
    </w:p>
    <w:p>
      <w:pPr>
        <w:spacing w:after="160"/>
        <w:jc w:val="both"/>
      </w:pPr>
      <w:r>
        <w:rPr>
          <w:rFonts w:ascii="Calibri" w:cs="Calibri" w:eastAsia="Calibri" w:hAnsi="Calibri"/>
          <w:i w:val="false"/>
          <w:iCs w:val="false"/>
          <w:sz w:val="21"/>
          <w:szCs w:val="21"/>
        </w:rPr>
        <w:t xml:space="preserve">arising from any wrongful act, fact, matter, or circumstance that the specific insured person seeking cover knew about before the start of this policy period and that they knew, or ought reasonably to have known, might lead to a claim. Knowledge is assessed individually for each insured person.</w:t>
      </w:r>
    </w:p>
    <w:p>
      <w:pPr>
        <w:pStyle w:val="Heading2"/>
        <w:spacing w:after="100" w:before="240"/>
      </w:pPr>
      <w:r>
        <w:rPr>
          <w:rFonts w:ascii="Calibri" w:cs="Calibri" w:eastAsia="Calibri" w:hAnsi="Calibri"/>
          <w:b/>
          <w:bCs/>
          <w:color w:val="1C1915"/>
          <w:sz w:val="24"/>
          <w:szCs w:val="24"/>
        </w:rPr>
        <w:t xml:space="preserve">4.6 Prior and Pending Litigation</w:t>
      </w:r>
    </w:p>
    <w:p>
      <w:pPr>
        <w:spacing w:after="160"/>
        <w:jc w:val="both"/>
      </w:pPr>
      <w:r>
        <w:rPr>
          <w:rFonts w:ascii="Calibri" w:cs="Calibri" w:eastAsia="Calibri" w:hAnsi="Calibri"/>
          <w:i w:val="false"/>
          <w:iCs w:val="false"/>
          <w:sz w:val="21"/>
          <w:szCs w:val="21"/>
        </w:rPr>
        <w:t xml:space="preserve">arising from, or in any way involving, any demand, suit, proceeding, investigation, or claim that was pending, or of which written notice had been given under any prior policy, before the retroactive date — regardless of whether the insured person seeking cover had knowledge of it.</w:t>
      </w:r>
    </w:p>
    <w:p>
      <w:pPr>
        <w:spacing w:after="160"/>
        <w:jc w:val="both"/>
      </w:pPr>
      <w:r>
        <w:rPr>
          <w:rFonts w:ascii="Calibri" w:cs="Calibri" w:eastAsia="Calibri" w:hAnsi="Calibri"/>
          <w:i w:val="false"/>
          <w:iCs w:val="false"/>
          <w:sz w:val="21"/>
          <w:szCs w:val="21"/>
        </w:rPr>
        <w:t xml:space="preserve">This exclusion is objective. It applies whether or not the insured person seeking cover knew of the demand, suit, proceeding, investigation, or claim, and is distinct from, and additional to, Section 4.5 (Prior Known Matters), which turns on the insured person's individual knowledge.</w:t>
      </w:r>
    </w:p>
    <w:p>
      <w:pPr>
        <w:pStyle w:val="Heading2"/>
        <w:spacing w:after="100" w:before="240"/>
      </w:pPr>
      <w:r>
        <w:rPr>
          <w:rFonts w:ascii="Calibri" w:cs="Calibri" w:eastAsia="Calibri" w:hAnsi="Calibri"/>
          <w:b/>
          <w:bCs/>
          <w:color w:val="1C1915"/>
          <w:sz w:val="24"/>
          <w:szCs w:val="24"/>
        </w:rPr>
        <w:t xml:space="preserve">4.7 Bodily Injury and Property Damage</w:t>
      </w:r>
    </w:p>
    <w:p>
      <w:pPr>
        <w:spacing w:after="160"/>
        <w:jc w:val="both"/>
      </w:pPr>
      <w:r>
        <w:rPr>
          <w:rFonts w:ascii="Calibri" w:cs="Calibri" w:eastAsia="Calibri" w:hAnsi="Calibri"/>
          <w:i w:val="false"/>
          <w:iCs w:val="false"/>
          <w:sz w:val="21"/>
          <w:szCs w:val="21"/>
        </w:rPr>
        <w:t xml:space="preserve">for death, bodily injury, or physical damage to tangible property — except defence costs in WHS or safety proceedings arising from a wrongful act in the insured person's capacity as a director or officer.</w:t>
      </w:r>
    </w:p>
    <w:p>
      <w:pPr>
        <w:pStyle w:val="Heading2"/>
        <w:spacing w:after="100" w:before="240"/>
      </w:pPr>
      <w:r>
        <w:rPr>
          <w:rFonts w:ascii="Calibri" w:cs="Calibri" w:eastAsia="Calibri" w:hAnsi="Calibri"/>
          <w:b/>
          <w:bCs/>
          <w:color w:val="1C1915"/>
          <w:sz w:val="24"/>
          <w:szCs w:val="24"/>
        </w:rPr>
        <w:t xml:space="preserve">4.8 Professional Services</w:t>
      </w:r>
    </w:p>
    <w:p>
      <w:pPr>
        <w:spacing w:after="160"/>
        <w:jc w:val="both"/>
      </w:pPr>
      <w:r>
        <w:rPr>
          <w:rFonts w:ascii="Calibri" w:cs="Calibri" w:eastAsia="Calibri" w:hAnsi="Calibri"/>
          <w:i w:val="false"/>
          <w:iCs w:val="false"/>
          <w:sz w:val="21"/>
          <w:szCs w:val="21"/>
        </w:rPr>
        <w:t xml:space="preserve">for errors or omissions in professional advice or services provided to a third-party client. This is a PI exposure.</w:t>
      </w:r>
    </w:p>
    <w:p>
      <w:pPr>
        <w:pStyle w:val="Heading2"/>
        <w:spacing w:after="100" w:before="240"/>
      </w:pPr>
      <w:r>
        <w:rPr>
          <w:rFonts w:ascii="Calibri" w:cs="Calibri" w:eastAsia="Calibri" w:hAnsi="Calibri"/>
          <w:b/>
          <w:bCs/>
          <w:color w:val="1C1915"/>
          <w:sz w:val="24"/>
          <w:szCs w:val="24"/>
        </w:rPr>
        <w:t xml:space="preserve">4.9 Major Transactions</w:t>
      </w:r>
    </w:p>
    <w:p>
      <w:pPr>
        <w:spacing w:after="160"/>
        <w:jc w:val="both"/>
      </w:pPr>
      <w:r>
        <w:rPr>
          <w:rFonts w:ascii="Calibri" w:cs="Calibri" w:eastAsia="Calibri" w:hAnsi="Calibri"/>
          <w:i w:val="false"/>
          <w:iCs w:val="false"/>
          <w:sz w:val="21"/>
          <w:szCs w:val="21"/>
        </w:rPr>
        <w:t xml:space="preserve">arising from an initial public offering, listing on a securities exchange, or any transaction that results in the company becoming a publicly listed entity.</w:t>
      </w:r>
    </w:p>
    <w:p>
      <w:pPr>
        <w:pStyle w:val="Heading2"/>
        <w:spacing w:after="100" w:before="240"/>
      </w:pPr>
      <w:r>
        <w:rPr>
          <w:rFonts w:ascii="Calibri" w:cs="Calibri" w:eastAsia="Calibri" w:hAnsi="Calibri"/>
          <w:b/>
          <w:bCs/>
          <w:color w:val="1C1915"/>
          <w:sz w:val="24"/>
          <w:szCs w:val="24"/>
        </w:rPr>
        <w:t xml:space="preserve">4.10 War, Terrorism, and Nuclear</w:t>
      </w:r>
    </w:p>
    <w:p>
      <w:pPr>
        <w:spacing w:after="160"/>
        <w:jc w:val="both"/>
      </w:pPr>
      <w:r>
        <w:rPr>
          <w:rFonts w:ascii="Calibri" w:cs="Calibri" w:eastAsia="Calibri" w:hAnsi="Calibri"/>
          <w:i w:val="false"/>
          <w:iCs w:val="false"/>
          <w:sz w:val="21"/>
          <w:szCs w:val="21"/>
        </w:rPr>
        <w:t xml:space="preserve">arising from war, terrorism, or nuclear risks.</w:t>
      </w:r>
    </w:p>
    <w:p>
      <w:pPr>
        <w:pStyle w:val="Heading2"/>
        <w:spacing w:after="100" w:before="240"/>
      </w:pPr>
      <w:r>
        <w:rPr>
          <w:rFonts w:ascii="Calibri" w:cs="Calibri" w:eastAsia="Calibri" w:hAnsi="Calibri"/>
          <w:b/>
          <w:bCs/>
          <w:color w:val="1C1915"/>
          <w:sz w:val="24"/>
          <w:szCs w:val="24"/>
        </w:rPr>
        <w:t xml:space="preserve">4.11 Sanctions</w:t>
      </w:r>
    </w:p>
    <w:p>
      <w:pPr>
        <w:spacing w:after="160"/>
        <w:jc w:val="both"/>
      </w:pPr>
      <w:r>
        <w:rPr>
          <w:rFonts w:ascii="Calibri" w:cs="Calibri" w:eastAsia="Calibri" w:hAnsi="Calibri"/>
          <w:i w:val="false"/>
          <w:iCs w:val="false"/>
          <w:sz w:val="21"/>
          <w:szCs w:val="21"/>
        </w:rPr>
        <w:t xml:space="preserve">We will not provide any cover, or make any payment, to the extent that doing so would expose us to enforcement action under:</w:t>
      </w:r>
    </w:p>
    <w:p>
      <w:pPr>
        <w:spacing w:after="160"/>
        <w:jc w:val="both"/>
      </w:pPr>
      <w:r>
        <w:rPr>
          <w:rFonts w:ascii="Calibri" w:cs="Calibri" w:eastAsia="Calibri" w:hAnsi="Calibri"/>
          <w:i w:val="false"/>
          <w:iCs w:val="false"/>
          <w:sz w:val="21"/>
          <w:szCs w:val="21"/>
        </w:rPr>
        <w:t xml:space="preserve">(a) the Autonomous Sanctions Act 2011 (Cth) or the Charter of the United Nations Act 1945 (Cth), or any sanctions, regulations, or designated-persons listings made under either Act; or</w:t>
      </w:r>
    </w:p>
    <w:p>
      <w:pPr>
        <w:spacing w:after="160"/>
        <w:jc w:val="both"/>
      </w:pPr>
      <w:r>
        <w:rPr>
          <w:rFonts w:ascii="Calibri" w:cs="Calibri" w:eastAsia="Calibri" w:hAnsi="Calibri"/>
          <w:i w:val="false"/>
          <w:iCs w:val="false"/>
          <w:sz w:val="21"/>
          <w:szCs w:val="21"/>
        </w:rPr>
        <w:t xml:space="preserve">(b) any United Nations Security Council resolution binding on Australia.</w:t>
      </w:r>
    </w:p>
    <w:p>
      <w:pPr>
        <w:spacing w:after="160"/>
      </w:pPr>
      <w:r>
        <w:rPr>
          <w:rFonts w:ascii="Calibri" w:cs="Calibri" w:eastAsia="Calibri" w:hAnsi="Calibri"/>
          <w:b/>
          <w:bCs/>
          <w:i/>
          <w:iCs/>
          <w:color w:val="1C1915"/>
          <w:sz w:val="20"/>
          <w:szCs w:val="20"/>
        </w:rPr>
        <w:t xml:space="preserve"/>
      </w:r>
    </w:p>
    <w:p>
      <w:pPr>
        <w:pStyle w:val="Heading2"/>
        <w:spacing w:after="100" w:before="240"/>
      </w:pPr>
      <w:r>
        <w:rPr>
          <w:rFonts w:ascii="Calibri" w:cs="Calibri" w:eastAsia="Calibri" w:hAnsi="Calibri"/>
          <w:b/>
          <w:bCs/>
          <w:color w:val="1C1915"/>
          <w:sz w:val="24"/>
          <w:szCs w:val="24"/>
        </w:rPr>
        <w:t xml:space="preserve">4.12 US / Canada Jurisdiction</w:t>
      </w:r>
    </w:p>
    <w:p>
      <w:pPr>
        <w:spacing w:after="160"/>
        <w:jc w:val="both"/>
      </w:pPr>
      <w:r>
        <w:rPr>
          <w:rFonts w:ascii="Calibri" w:cs="Calibri" w:eastAsia="Calibri" w:hAnsi="Calibri"/>
          <w:i w:val="false"/>
          <w:iCs w:val="false"/>
          <w:sz w:val="21"/>
          <w:szCs w:val="21"/>
        </w:rPr>
        <w:t xml:space="preserve">for any claim brought or maintained in a court in the United States or Canada — unless the US/Canada endorsement is purchased.</w:t>
      </w:r>
    </w:p>
    <w:p>
      <w:pPr>
        <w:pStyle w:val="Heading1"/>
        <w:pageBreakBefore/>
        <w:pBdr>
          <w:bottom w:val="single" w:color="E2D9C8" w:sz="6"/>
        </w:pBdr>
        <w:spacing w:after="160" w:before="360"/>
      </w:pPr>
      <w:r>
        <w:rPr>
          <w:rFonts w:ascii="Calibri" w:cs="Calibri" w:eastAsia="Calibri" w:hAnsi="Calibri"/>
          <w:b/>
          <w:bCs/>
          <w:color w:val="1C1915"/>
          <w:sz w:val="30"/>
          <w:szCs w:val="30"/>
        </w:rPr>
        <w:t xml:space="preserve">5. How Much We Will Pay</w:t>
      </w:r>
    </w:p>
    <w:p>
      <w:pPr>
        <w:pStyle w:val="Heading2"/>
        <w:spacing w:after="100" w:before="240"/>
      </w:pPr>
      <w:r>
        <w:rPr>
          <w:rFonts w:ascii="Calibri" w:cs="Calibri" w:eastAsia="Calibri" w:hAnsi="Calibri"/>
          <w:b/>
          <w:bCs/>
          <w:color w:val="1C1915"/>
          <w:sz w:val="24"/>
          <w:szCs w:val="24"/>
        </w:rPr>
        <w:t xml:space="preserve">5.1 Limit of Liability</w:t>
      </w:r>
    </w:p>
    <w:p>
      <w:pPr>
        <w:spacing w:after="160"/>
        <w:jc w:val="both"/>
      </w:pPr>
      <w:r>
        <w:rPr>
          <w:rFonts w:ascii="Calibri" w:cs="Calibri" w:eastAsia="Calibri" w:hAnsi="Calibri"/>
          <w:i w:val="false"/>
          <w:iCs w:val="false"/>
          <w:sz w:val="21"/>
          <w:szCs w:val="21"/>
        </w:rPr>
        <w:t xml:space="preserve">The most we will pay for all claims and defence costs combined during the policy period is the limit of liability shown in the schedule.</w:t>
      </w:r>
    </w:p>
    <w:p>
      <w:pPr>
        <w:pStyle w:val="Heading2"/>
        <w:spacing w:after="100" w:before="240"/>
      </w:pPr>
      <w:r>
        <w:rPr>
          <w:rFonts w:ascii="Calibri" w:cs="Calibri" w:eastAsia="Calibri" w:hAnsi="Calibri"/>
          <w:b/>
          <w:bCs/>
          <w:color w:val="1C1915"/>
          <w:sz w:val="24"/>
          <w:szCs w:val="24"/>
        </w:rPr>
        <w:t xml:space="preserve">5.2 Defence Costs</w:t>
      </w:r>
    </w:p>
    <w:p>
      <w:pPr>
        <w:spacing w:after="160"/>
        <w:jc w:val="both"/>
      </w:pPr>
      <w:r>
        <w:rPr>
          <w:rFonts w:ascii="Calibri" w:cs="Calibri" w:eastAsia="Calibri" w:hAnsi="Calibri"/>
          <w:i w:val="false"/>
          <w:iCs w:val="false"/>
          <w:sz w:val="21"/>
          <w:szCs w:val="21"/>
        </w:rPr>
        <w:t xml:space="preserve">Defence costs are included within the limit of liability, unless the schedule states that defence costs are payable in addition to the limit.</w:t>
      </w:r>
    </w:p>
    <w:p>
      <w:pPr>
        <w:pStyle w:val="Heading2"/>
        <w:spacing w:after="100" w:before="240"/>
      </w:pPr>
      <w:r>
        <w:rPr>
          <w:rFonts w:ascii="Calibri" w:cs="Calibri" w:eastAsia="Calibri" w:hAnsi="Calibri"/>
          <w:b/>
          <w:bCs/>
          <w:color w:val="1C1915"/>
          <w:sz w:val="24"/>
          <w:szCs w:val="24"/>
        </w:rPr>
        <w:t xml:space="preserve">5.3 No Excess for Insured Persons</w:t>
      </w:r>
    </w:p>
    <w:p>
      <w:pPr>
        <w:spacing w:after="160"/>
        <w:jc w:val="both"/>
      </w:pPr>
      <w:r>
        <w:rPr>
          <w:rFonts w:ascii="Calibri" w:cs="Calibri" w:eastAsia="Calibri" w:hAnsi="Calibri"/>
          <w:i w:val="false"/>
          <w:iCs w:val="false"/>
          <w:sz w:val="21"/>
          <w:szCs w:val="21"/>
        </w:rPr>
        <w:t xml:space="preserve">There is no excess payable by any insured person under this policy. We will never require a director or officer to pay out of their own pocket before we respond.</w:t>
      </w:r>
    </w:p>
    <w:p>
      <w:pPr>
        <w:pStyle w:val="Heading2"/>
        <w:spacing w:after="100" w:before="240"/>
      </w:pPr>
      <w:r>
        <w:rPr>
          <w:rFonts w:ascii="Calibri" w:cs="Calibri" w:eastAsia="Calibri" w:hAnsi="Calibri"/>
          <w:b/>
          <w:bCs/>
          <w:color w:val="1C1915"/>
          <w:sz w:val="24"/>
          <w:szCs w:val="24"/>
        </w:rPr>
        <w:t xml:space="preserve">5.4 No Contribution from the Company</w:t>
      </w:r>
    </w:p>
    <w:p>
      <w:pPr>
        <w:spacing w:after="160"/>
        <w:jc w:val="both"/>
      </w:pPr>
      <w:r>
        <w:rPr>
          <w:rFonts w:ascii="Calibri" w:cs="Calibri" w:eastAsia="Calibri" w:hAnsi="Calibri"/>
          <w:i w:val="false"/>
          <w:iCs w:val="false"/>
          <w:sz w:val="21"/>
          <w:szCs w:val="21"/>
        </w:rPr>
        <w:t xml:space="preserve">The company is not required to contribute to any loss under this policy. This policy is not dependent on the company's willingness or ability to co-fund a claim.</w:t>
      </w:r>
    </w:p>
    <w:p>
      <w:pPr>
        <w:pStyle w:val="Heading2"/>
        <w:spacing w:after="100" w:before="240"/>
      </w:pPr>
      <w:r>
        <w:rPr>
          <w:rFonts w:ascii="Calibri" w:cs="Calibri" w:eastAsia="Calibri" w:hAnsi="Calibri"/>
          <w:b/>
          <w:bCs/>
          <w:color w:val="1C1915"/>
          <w:sz w:val="24"/>
          <w:szCs w:val="24"/>
        </w:rPr>
        <w:t xml:space="preserve">5.5 Order of Payment — Priority</w:t>
      </w:r>
    </w:p>
    <w:p>
      <w:pPr>
        <w:spacing w:after="160"/>
        <w:jc w:val="both"/>
      </w:pPr>
      <w:r>
        <w:rPr>
          <w:rFonts w:ascii="Calibri" w:cs="Calibri" w:eastAsia="Calibri" w:hAnsi="Calibri"/>
          <w:i w:val="false"/>
          <w:iCs w:val="false"/>
          <w:sz w:val="21"/>
          <w:szCs w:val="21"/>
        </w:rPr>
        <w:t xml:space="preserve">If the limit of liability is or may be insufficient to cover all insured persons' losses, we will allocate payments: (a) first, to non-executive directors and independent directors; (b) second, to executive directors and officers; in each case prioritising defence costs before compensatory payments.</w:t>
      </w:r>
    </w:p>
    <w:p>
      <w:pPr>
        <w:pStyle w:val="Heading2"/>
        <w:spacing w:after="100" w:before="240"/>
      </w:pPr>
      <w:r>
        <w:rPr>
          <w:rFonts w:ascii="Calibri" w:cs="Calibri" w:eastAsia="Calibri" w:hAnsi="Calibri"/>
          <w:b/>
          <w:bCs/>
          <w:color w:val="1C1915"/>
          <w:sz w:val="24"/>
          <w:szCs w:val="24"/>
        </w:rPr>
        <w:t xml:space="preserve">5.6 Excess of Other DIC Insurance</w:t>
      </w:r>
    </w:p>
    <w:p>
      <w:pPr>
        <w:spacing w:after="160"/>
        <w:jc w:val="both"/>
      </w:pPr>
      <w:r>
        <w:rPr>
          <w:rFonts w:ascii="Calibri" w:cs="Calibri" w:eastAsia="Calibri" w:hAnsi="Calibri"/>
          <w:i w:val="false"/>
          <w:iCs w:val="false"/>
          <w:sz w:val="21"/>
          <w:szCs w:val="21"/>
        </w:rPr>
        <w:t xml:space="preserve">If any other DIC, Side-A, or similar difference-in-conditions insurance is available to respond to the same non-indemnifiable loss (whether arranged by the company, a co-insured, or otherwise, and whether or not identified in the schedule), this policy applies only in excess of that other insurance and will pay only after the limit of that other insurance has been exhausted by payment of losses.</w:t>
      </w:r>
    </w:p>
    <w:p>
      <w:pPr>
        <w:spacing w:after="160"/>
        <w:jc w:val="both"/>
      </w:pPr>
      <w:r>
        <w:rPr>
          <w:rFonts w:ascii="Calibri" w:cs="Calibri" w:eastAsia="Calibri" w:hAnsi="Calibri"/>
          <w:i w:val="false"/>
          <w:iCs w:val="false"/>
          <w:sz w:val="21"/>
          <w:szCs w:val="21"/>
        </w:rPr>
        <w:t xml:space="preserve">Where more than one DIC policy is expressed to apply excess of the other (a circularity), each such policy will contribute on a pro-rata basis in proportion to its limit of liability, unless the schedule states a different order of priority for named layers.</w:t>
      </w:r>
    </w:p>
    <w:p>
      <w:pPr>
        <w:pStyle w:val="Heading2"/>
        <w:spacing w:after="100" w:before="240"/>
      </w:pPr>
      <w:r>
        <w:rPr>
          <w:rFonts w:ascii="Calibri" w:cs="Calibri" w:eastAsia="Calibri" w:hAnsi="Calibri"/>
          <w:b/>
          <w:bCs/>
          <w:color w:val="1C1915"/>
          <w:sz w:val="24"/>
          <w:szCs w:val="24"/>
        </w:rPr>
        <w:t xml:space="preserve">5.7 Non-Avoidance</w:t>
      </w:r>
    </w:p>
    <w:p>
      <w:pPr>
        <w:spacing w:after="160"/>
        <w:jc w:val="both"/>
      </w:pPr>
      <w:r>
        <w:rPr>
          <w:rFonts w:ascii="Calibri" w:cs="Calibri" w:eastAsia="Calibri" w:hAnsi="Calibri"/>
          <w:i w:val="false"/>
          <w:iCs w:val="false"/>
          <w:sz w:val="21"/>
          <w:szCs w:val="21"/>
        </w:rPr>
        <w:t xml:space="preserve">We will not avoid this policy, or any insured person's cover under it, under s 28 of the Insurance Contracts Act 1984 (Cth) or otherwise, for non-disclosure or misrepresentation in connection with the application for this policy — except where the specific insured person seeking cover personally committed the non-disclosure or misrepresentation, and did so fraudulently or with the intention to deceive us. Avoidance, where available, is limited to the cover of that insured person only, and does not affect the cover of any other, innocent insured person.</w:t>
      </w:r>
    </w:p>
    <w:p>
      <w:pPr>
        <w:spacing w:after="160"/>
        <w:jc w:val="both"/>
      </w:pPr>
      <w:r>
        <w:rPr>
          <w:rFonts w:ascii="Calibri" w:cs="Calibri" w:eastAsia="Calibri" w:hAnsi="Calibri"/>
          <w:i w:val="false"/>
          <w:iCs w:val="false"/>
          <w:sz w:val="21"/>
          <w:szCs w:val="21"/>
        </w:rPr>
        <w:t xml:space="preserve">Where a non-disclosure or misrepresentation is not fraudulent, we will not reduce our liability to an innocent insured person under s 28(3) of the Insurance Contracts Act 1984 (Cth) or otherwise, on account of that non-disclosure or misrepresentation. We expressly waive that remedy as against every innocent insured person. This paragraph does not limit our rights under s 28 against the insured person who personally made the fraudulent non-disclosure or misrepresentation.</w:t>
      </w:r>
    </w:p>
    <w:p>
      <w:pPr>
        <w:spacing w:after="160"/>
        <w:jc w:val="both"/>
      </w:pPr>
      <w:r>
        <w:rPr>
          <w:rFonts w:ascii="Calibri" w:cs="Calibri" w:eastAsia="Calibri" w:hAnsi="Calibri"/>
          <w:i w:val="false"/>
          <w:iCs w:val="false"/>
          <w:sz w:val="21"/>
          <w:szCs w:val="21"/>
        </w:rPr>
        <w:t xml:space="preserve">An innocent director or officer cannot lose their cover, or have it reduced, because of someone else's non-disclosure or misrepresentation in the insurance application.</w:t>
      </w:r>
    </w:p>
    <w:p>
      <w:pPr>
        <w:pStyle w:val="Heading1"/>
        <w:pageBreakBefore/>
        <w:pBdr>
          <w:bottom w:val="single" w:color="E2D9C8" w:sz="6"/>
        </w:pBdr>
        <w:spacing w:after="160" w:before="360"/>
      </w:pPr>
      <w:r>
        <w:rPr>
          <w:rFonts w:ascii="Calibri" w:cs="Calibri" w:eastAsia="Calibri" w:hAnsi="Calibri"/>
          <w:b/>
          <w:bCs/>
          <w:color w:val="1C1915"/>
          <w:sz w:val="30"/>
          <w:szCs w:val="30"/>
        </w:rPr>
        <w:t xml:space="preserve">6. Your Obligations</w:t>
      </w:r>
    </w:p>
    <w:p>
      <w:pPr>
        <w:pStyle w:val="Heading2"/>
        <w:spacing w:after="100" w:before="240"/>
      </w:pPr>
      <w:r>
        <w:rPr>
          <w:rFonts w:ascii="Calibri" w:cs="Calibri" w:eastAsia="Calibri" w:hAnsi="Calibri"/>
          <w:b/>
          <w:bCs/>
          <w:color w:val="1C1915"/>
          <w:sz w:val="24"/>
          <w:szCs w:val="24"/>
        </w:rPr>
        <w:t xml:space="preserve">6.1 Notify Us of Claims</w:t>
      </w:r>
    </w:p>
    <w:p>
      <w:pPr>
        <w:spacing w:after="160"/>
        <w:jc w:val="both"/>
      </w:pPr>
      <w:r>
        <w:rPr>
          <w:rFonts w:ascii="Calibri" w:cs="Calibri" w:eastAsia="Calibri" w:hAnsi="Calibri"/>
          <w:i w:val="false"/>
          <w:iCs w:val="false"/>
          <w:sz w:val="21"/>
          <w:szCs w:val="21"/>
        </w:rPr>
        <w:t xml:space="preserve">Any insured person may notify us directly of a claim. They do not need to go through the company or the company's broker. Tell us in writing as soon as reasonably practicable after you become aware of a claim.</w:t>
      </w:r>
    </w:p>
    <w:p>
      <w:pPr>
        <w:pStyle w:val="Heading2"/>
        <w:spacing w:after="100" w:before="240"/>
      </w:pPr>
      <w:r>
        <w:rPr>
          <w:rFonts w:ascii="Calibri" w:cs="Calibri" w:eastAsia="Calibri" w:hAnsi="Calibri"/>
          <w:b/>
          <w:bCs/>
          <w:color w:val="1C1915"/>
          <w:sz w:val="24"/>
          <w:szCs w:val="24"/>
        </w:rPr>
        <w:t xml:space="preserve">6.2 Notify Us of Circumstances</w:t>
      </w:r>
    </w:p>
    <w:p>
      <w:pPr>
        <w:spacing w:after="160"/>
        <w:jc w:val="both"/>
      </w:pPr>
      <w:r>
        <w:rPr>
          <w:rFonts w:ascii="Calibri" w:cs="Calibri" w:eastAsia="Calibri" w:hAnsi="Calibri"/>
          <w:i w:val="false"/>
          <w:iCs w:val="false"/>
          <w:sz w:val="21"/>
          <w:szCs w:val="21"/>
        </w:rPr>
        <w:t xml:space="preserve">Tell us during the policy period if you become aware of any fact, matter, or circumstance that might reasonably be expected to give rise to a claim. Notified circumstances will be treated as a claim first made during this policy period, in accordance with s 40(3) of the Insurance Contracts Act 1984 (Cth).</w:t>
      </w:r>
    </w:p>
    <w:p>
      <w:pPr>
        <w:pStyle w:val="Heading2"/>
        <w:spacing w:after="100" w:before="240"/>
      </w:pPr>
      <w:r>
        <w:rPr>
          <w:rFonts w:ascii="Calibri" w:cs="Calibri" w:eastAsia="Calibri" w:hAnsi="Calibri"/>
          <w:b/>
          <w:bCs/>
          <w:color w:val="1C1915"/>
          <w:sz w:val="24"/>
          <w:szCs w:val="24"/>
        </w:rPr>
        <w:t xml:space="preserve">6.3 Do Not Admit Liability</w:t>
      </w:r>
    </w:p>
    <w:p>
      <w:pPr>
        <w:spacing w:after="160"/>
        <w:jc w:val="both"/>
      </w:pPr>
      <w:r>
        <w:rPr>
          <w:rFonts w:ascii="Calibri" w:cs="Calibri" w:eastAsia="Calibri" w:hAnsi="Calibri"/>
          <w:i w:val="false"/>
          <w:iCs w:val="false"/>
          <w:sz w:val="21"/>
          <w:szCs w:val="21"/>
        </w:rPr>
        <w:t xml:space="preserve">Do not admit liability or settle without our written consent. We will not unreasonably withhold consent.</w:t>
      </w:r>
    </w:p>
    <w:p>
      <w:pPr>
        <w:pStyle w:val="Heading2"/>
        <w:spacing w:after="100" w:before="240"/>
      </w:pPr>
      <w:r>
        <w:rPr>
          <w:rFonts w:ascii="Calibri" w:cs="Calibri" w:eastAsia="Calibri" w:hAnsi="Calibri"/>
          <w:b/>
          <w:bCs/>
          <w:color w:val="1C1915"/>
          <w:sz w:val="24"/>
          <w:szCs w:val="24"/>
        </w:rPr>
        <w:t xml:space="preserve">6.4 Cooperate</w:t>
      </w:r>
    </w:p>
    <w:p>
      <w:pPr>
        <w:spacing w:after="160"/>
        <w:jc w:val="both"/>
      </w:pPr>
      <w:r>
        <w:rPr>
          <w:rFonts w:ascii="Calibri" w:cs="Calibri" w:eastAsia="Calibri" w:hAnsi="Calibri"/>
          <w:i w:val="false"/>
          <w:iCs w:val="false"/>
          <w:sz w:val="21"/>
          <w:szCs w:val="21"/>
        </w:rPr>
        <w:t xml:space="preserve">Cooperate with us and provide all information and documents we reasonably need.</w:t>
      </w:r>
    </w:p>
    <w:p>
      <w:pPr>
        <w:pStyle w:val="Heading2"/>
        <w:spacing w:after="100" w:before="240"/>
      </w:pPr>
      <w:r>
        <w:rPr>
          <w:rFonts w:ascii="Calibri" w:cs="Calibri" w:eastAsia="Calibri" w:hAnsi="Calibri"/>
          <w:b/>
          <w:bCs/>
          <w:color w:val="1C1915"/>
          <w:sz w:val="24"/>
          <w:szCs w:val="24"/>
        </w:rPr>
        <w:t xml:space="preserve">6.5 Underlying Insurance</w:t>
      </w:r>
    </w:p>
    <w:p>
      <w:pPr>
        <w:spacing w:after="160"/>
        <w:jc w:val="both"/>
      </w:pPr>
      <w:r>
        <w:rPr>
          <w:rFonts w:ascii="Calibri" w:cs="Calibri" w:eastAsia="Calibri" w:hAnsi="Calibri"/>
          <w:i w:val="false"/>
          <w:iCs w:val="false"/>
          <w:sz w:val="21"/>
          <w:szCs w:val="21"/>
        </w:rPr>
        <w:t xml:space="preserve">You must take reasonable steps to maintain the underlying D&amp;O insurance on substantially similar terms and limits. If it is not renewed, is cancelled, or its limits or terms are materially reduced, tell us promptly.</w:t>
      </w:r>
    </w:p>
    <w:p>
      <w:pPr>
        <w:spacing w:after="160"/>
        <w:jc w:val="both"/>
      </w:pPr>
      <w:r>
        <w:rPr>
          <w:rFonts w:ascii="Calibri" w:cs="Calibri" w:eastAsia="Calibri" w:hAnsi="Calibri"/>
          <w:i w:val="false"/>
          <w:iCs w:val="false"/>
          <w:sz w:val="21"/>
          <w:szCs w:val="21"/>
        </w:rPr>
        <w:t xml:space="preserve">A failure to comply with this Section 6.5 does not, of itself, reduce or exclude cover under this policy except to the extent we are prejudiced by that failure (see Section 7.8). It also does not, of itself, trigger DIC drop-down cover under Section 2.3 — drop-down is only available where one of the events described in Sections 2.3.1 to 2.3.5 actually occurs, including cancellation of the underlying D&amp;O insurance under Section 2.3.5.</w:t>
      </w:r>
    </w:p>
    <w:p>
      <w:pPr>
        <w:pStyle w:val="Heading1"/>
        <w:pageBreakBefore/>
        <w:pBdr>
          <w:bottom w:val="single" w:color="E2D9C8" w:sz="6"/>
        </w:pBdr>
        <w:spacing w:after="160" w:before="360"/>
      </w:pPr>
      <w:r>
        <w:rPr>
          <w:rFonts w:ascii="Calibri" w:cs="Calibri" w:eastAsia="Calibri" w:hAnsi="Calibri"/>
          <w:b/>
          <w:bCs/>
          <w:color w:val="1C1915"/>
          <w:sz w:val="30"/>
          <w:szCs w:val="30"/>
        </w:rPr>
        <w:t xml:space="preserve">7. General Conditions</w:t>
      </w:r>
    </w:p>
    <w:p>
      <w:pPr>
        <w:pStyle w:val="Heading2"/>
        <w:spacing w:after="100" w:before="240"/>
      </w:pPr>
      <w:r>
        <w:rPr>
          <w:rFonts w:ascii="Calibri" w:cs="Calibri" w:eastAsia="Calibri" w:hAnsi="Calibri"/>
          <w:b/>
          <w:bCs/>
          <w:color w:val="1C1915"/>
          <w:sz w:val="24"/>
          <w:szCs w:val="24"/>
        </w:rPr>
        <w:t xml:space="preserve">7.1 Duty of Disclosure</w:t>
      </w:r>
    </w:p>
    <w:p>
      <w:pPr>
        <w:spacing w:after="160"/>
        <w:jc w:val="both"/>
      </w:pPr>
      <w:r>
        <w:rPr>
          <w:rFonts w:ascii="Calibri" w:cs="Calibri" w:eastAsia="Calibri" w:hAnsi="Calibri"/>
          <w:i w:val="false"/>
          <w:iCs w:val="false"/>
          <w:sz w:val="21"/>
          <w:szCs w:val="21"/>
        </w:rPr>
        <w:t xml:space="preserve">Each insured person has an individual duty of disclosure. We assess each person's disclosure separately. A failure by one person does not affect another person's cover (see Section 5.7 — Non-Avoidance).</w:t>
      </w:r>
    </w:p>
    <w:p>
      <w:pPr>
        <w:pStyle w:val="Heading2"/>
        <w:spacing w:after="100" w:before="240"/>
      </w:pPr>
      <w:r>
        <w:rPr>
          <w:rFonts w:ascii="Calibri" w:cs="Calibri" w:eastAsia="Calibri" w:hAnsi="Calibri"/>
          <w:b/>
          <w:bCs/>
          <w:color w:val="1C1915"/>
          <w:sz w:val="24"/>
          <w:szCs w:val="24"/>
        </w:rPr>
        <w:t xml:space="preserve">7.2 Severability</w:t>
      </w:r>
    </w:p>
    <w:p>
      <w:pPr>
        <w:spacing w:after="160"/>
        <w:jc w:val="both"/>
      </w:pPr>
      <w:r>
        <w:rPr>
          <w:rFonts w:ascii="Calibri" w:cs="Calibri" w:eastAsia="Calibri" w:hAnsi="Calibri"/>
          <w:i w:val="false"/>
          <w:iCs w:val="false"/>
          <w:sz w:val="21"/>
          <w:szCs w:val="21"/>
        </w:rPr>
        <w:t xml:space="preserve">This policy treats each insured person as if they have their own separate policy. The conduct, knowledge, or statements of one insured person are not attributed to any other insured person.</w:t>
      </w:r>
    </w:p>
    <w:p>
      <w:pPr>
        <w:pStyle w:val="Heading2"/>
        <w:spacing w:after="100" w:before="240"/>
      </w:pPr>
      <w:r>
        <w:rPr>
          <w:rFonts w:ascii="Calibri" w:cs="Calibri" w:eastAsia="Calibri" w:hAnsi="Calibri"/>
          <w:b/>
          <w:bCs/>
          <w:color w:val="1C1915"/>
          <w:sz w:val="24"/>
          <w:szCs w:val="24"/>
        </w:rPr>
        <w:t xml:space="preserve">7.3 Cancellation</w:t>
      </w:r>
    </w:p>
    <w:p>
      <w:pPr>
        <w:spacing w:after="160"/>
        <w:jc w:val="both"/>
      </w:pPr>
      <w:r>
        <w:rPr>
          <w:rFonts w:ascii="Calibri" w:cs="Calibri" w:eastAsia="Calibri" w:hAnsi="Calibri"/>
          <w:i w:val="false"/>
          <w:iCs w:val="false"/>
          <w:sz w:val="21"/>
          <w:szCs w:val="21"/>
        </w:rPr>
        <w:t xml:space="preserve">By you (the company): The company may cancel this policy at any time by written notice to us. Cancellation does not affect the cover of any insured person who has already notified a claim or circumstance, and does not affect the accrued rights of any insured person under this policy up to the date of cancellation.</w:t>
      </w:r>
    </w:p>
    <w:p>
      <w:pPr>
        <w:spacing w:after="160"/>
        <w:jc w:val="both"/>
      </w:pPr>
      <w:r>
        <w:rPr>
          <w:rFonts w:ascii="Calibri" w:cs="Calibri" w:eastAsia="Calibri" w:hAnsi="Calibri"/>
          <w:i w:val="false"/>
          <w:iCs w:val="false"/>
          <w:sz w:val="21"/>
          <w:szCs w:val="21"/>
        </w:rPr>
        <w:t xml:space="preserve">By us: We may only cancel this policy on grounds permitted by the Insurance Contracts Act 1984 (Cth) s.60. Where we are entitled to cancel, we will give each insured person written notice individually as required by s.59. We will refund the premium proportionally.</w:t>
      </w:r>
    </w:p>
    <w:p>
      <w:pPr>
        <w:spacing w:after="160"/>
        <w:jc w:val="both"/>
      </w:pPr>
      <w:r>
        <w:rPr>
          <w:rFonts w:ascii="Calibri" w:cs="Calibri" w:eastAsia="Calibri" w:hAnsi="Calibri"/>
          <w:i w:val="false"/>
          <w:iCs w:val="false"/>
          <w:sz w:val="21"/>
          <w:szCs w:val="21"/>
        </w:rPr>
        <w:t xml:space="preserve">By an insured person: An individual insured person cannot cancel this policy, and the company cannot cancel it in a way that removes cover for any individual without their written consent.</w:t>
      </w:r>
    </w:p>
    <w:p>
      <w:pPr>
        <w:pStyle w:val="Heading2"/>
        <w:spacing w:after="100" w:before="240"/>
      </w:pPr>
      <w:r>
        <w:rPr>
          <w:rFonts w:ascii="Calibri" w:cs="Calibri" w:eastAsia="Calibri" w:hAnsi="Calibri"/>
          <w:b/>
          <w:bCs/>
          <w:color w:val="1C1915"/>
          <w:sz w:val="24"/>
          <w:szCs w:val="24"/>
        </w:rPr>
        <w:t xml:space="preserve">7.4 Discovery Period</w:t>
      </w:r>
    </w:p>
    <w:p>
      <w:pPr>
        <w:spacing w:after="160"/>
        <w:jc w:val="both"/>
      </w:pPr>
      <w:r>
        <w:rPr>
          <w:rFonts w:ascii="Calibri" w:cs="Calibri" w:eastAsia="Calibri" w:hAnsi="Calibri"/>
          <w:i w:val="false"/>
          <w:iCs w:val="false"/>
          <w:sz w:val="21"/>
          <w:szCs w:val="21"/>
        </w:rPr>
        <w:t xml:space="preserve">If this policy is not renewed, each insured person has an automatic discovery period of 180 days (6 months) to notify claims arising from wrongful acts during or before the policy period. An extended discovery period of up to 72 months is available for an additional premium, requested within 60 days of expiry.</w:t>
      </w:r>
    </w:p>
    <w:p>
      <w:pPr>
        <w:pStyle w:val="Heading2"/>
        <w:spacing w:after="100" w:before="240"/>
      </w:pPr>
      <w:r>
        <w:rPr>
          <w:rFonts w:ascii="Calibri" w:cs="Calibri" w:eastAsia="Calibri" w:hAnsi="Calibri"/>
          <w:b/>
          <w:bCs/>
          <w:color w:val="1C1915"/>
          <w:sz w:val="24"/>
          <w:szCs w:val="24"/>
        </w:rPr>
        <w:t xml:space="preserve">7.5 Governing Law and Jurisdiction</w:t>
      </w:r>
    </w:p>
    <w:p>
      <w:pPr>
        <w:spacing w:after="160"/>
        <w:jc w:val="both"/>
      </w:pPr>
      <w:r>
        <w:rPr>
          <w:rFonts w:ascii="Calibri" w:cs="Calibri" w:eastAsia="Calibri" w:hAnsi="Calibri"/>
          <w:i w:val="false"/>
          <w:iCs w:val="false"/>
          <w:sz w:val="21"/>
          <w:szCs w:val="21"/>
        </w:rPr>
        <w:t xml:space="preserve">This policy is governed by the law of the state or territory of Australia shown in the schedule. The parties submit to the non-exclusive jurisdiction of the courts of that state or territory, and of any court of appeal from those courts.</w:t>
      </w:r>
    </w:p>
    <w:p>
      <w:pPr>
        <w:pStyle w:val="Heading2"/>
        <w:spacing w:after="100" w:before="240"/>
      </w:pPr>
      <w:r>
        <w:rPr>
          <w:rFonts w:ascii="Calibri" w:cs="Calibri" w:eastAsia="Calibri" w:hAnsi="Calibri"/>
          <w:b/>
          <w:bCs/>
          <w:color w:val="1C1915"/>
          <w:sz w:val="24"/>
          <w:szCs w:val="24"/>
        </w:rPr>
        <w:t xml:space="preserve">7.6 Disputes and Complaints</w:t>
      </w:r>
    </w:p>
    <w:p>
      <w:pPr>
        <w:spacing w:after="160"/>
        <w:jc w:val="both"/>
      </w:pPr>
      <w:r>
        <w:rPr>
          <w:rFonts w:ascii="Calibri" w:cs="Calibri" w:eastAsia="Calibri" w:hAnsi="Calibri"/>
          <w:i w:val="false"/>
          <w:iCs w:val="false"/>
          <w:sz w:val="21"/>
          <w:szCs w:val="21"/>
        </w:rPr>
        <w:t xml:space="preserve">Any insured person may raise a complaint directly with us or with AFCA: www.afca.org.au | 1800 931 678.</w:t>
      </w:r>
    </w:p>
    <w:p>
      <w:pPr>
        <w:pStyle w:val="Heading2"/>
        <w:spacing w:after="100" w:before="240"/>
      </w:pPr>
      <w:r>
        <w:rPr>
          <w:rFonts w:ascii="Calibri" w:cs="Calibri" w:eastAsia="Calibri" w:hAnsi="Calibri"/>
          <w:b/>
          <w:bCs/>
          <w:color w:val="1C1915"/>
          <w:sz w:val="24"/>
          <w:szCs w:val="24"/>
        </w:rPr>
        <w:t xml:space="preserve">7.7 Privacy</w:t>
      </w:r>
    </w:p>
    <w:p>
      <w:pPr>
        <w:spacing w:after="160"/>
        <w:jc w:val="both"/>
      </w:pPr>
      <w:r>
        <w:rPr>
          <w:rFonts w:ascii="Calibri" w:cs="Calibri" w:eastAsia="Calibri" w:hAnsi="Calibri"/>
          <w:i w:val="false"/>
          <w:iCs w:val="false"/>
          <w:sz w:val="21"/>
          <w:szCs w:val="21"/>
        </w:rPr>
        <w:t xml:space="preserve">We handle personal information in accordance with the Privacy Act 1988 (Cth).</w:t>
      </w:r>
    </w:p>
    <w:p>
      <w:pPr>
        <w:pStyle w:val="Heading2"/>
        <w:spacing w:after="100" w:before="240"/>
      </w:pPr>
      <w:r>
        <w:rPr>
          <w:rFonts w:ascii="Calibri" w:cs="Calibri" w:eastAsia="Calibri" w:hAnsi="Calibri"/>
          <w:b/>
          <w:bCs/>
          <w:color w:val="1C1915"/>
          <w:sz w:val="24"/>
          <w:szCs w:val="24"/>
        </w:rPr>
        <w:t xml:space="preserve">7.8 Insurance Contracts Act — Savings and No Contracting-Out</w:t>
      </w:r>
    </w:p>
    <w:p>
      <w:pPr>
        <w:spacing w:after="160"/>
        <w:jc w:val="both"/>
      </w:pPr>
      <w:r>
        <w:rPr>
          <w:rFonts w:ascii="Calibri" w:cs="Calibri" w:eastAsia="Calibri" w:hAnsi="Calibri"/>
          <w:i w:val="false"/>
          <w:iCs w:val="false"/>
          <w:sz w:val="21"/>
          <w:szCs w:val="21"/>
        </w:rPr>
        <w:t xml:space="preserve">Nothing in this policy excludes, restricts, or modifies, or purports to exclude, restrict, or modify, the operation of the Insurance Contracts Act 1984 (Cth). Where any provision of this policy is inconsistent with that Act, the Act prevails to the extent of the inconsistency.</w:t>
      </w:r>
    </w:p>
    <w:p>
      <w:pPr>
        <w:spacing w:after="160"/>
        <w:jc w:val="both"/>
      </w:pPr>
      <w:r>
        <w:rPr>
          <w:rFonts w:ascii="Calibri" w:cs="Calibri" w:eastAsia="Calibri" w:hAnsi="Calibri"/>
          <w:i w:val="false"/>
          <w:iCs w:val="false"/>
          <w:sz w:val="21"/>
          <w:szCs w:val="21"/>
        </w:rPr>
        <w:t xml:space="preserve">Without limiting the foregoing, we may not refuse to pay a claim, in whole or in part, by reason of an act or omission of an insured person or the company after this policy was entered into, except to the extent permitted by s 54 of the Insurance Contracts Act 1984 (Cth) — that is, only to the extent that the act or omission has actually prejudiced us, and then only to the extent of that prejudice.</w:t>
      </w:r>
    </w:p>
    <w:p>
      <w:pPr>
        <w:pStyle w:val="Heading2"/>
        <w:spacing w:after="100" w:before="240"/>
      </w:pPr>
      <w:r>
        <w:rPr>
          <w:rFonts w:ascii="Calibri" w:cs="Calibri" w:eastAsia="Calibri" w:hAnsi="Calibri"/>
          <w:b/>
          <w:bCs/>
          <w:color w:val="1C1915"/>
          <w:sz w:val="24"/>
          <w:szCs w:val="24"/>
        </w:rPr>
        <w:t xml:space="preserve">7.9 GST</w:t>
      </w:r>
    </w:p>
    <w:p>
      <w:pPr>
        <w:spacing w:after="160"/>
        <w:jc w:val="both"/>
      </w:pPr>
      <w:r>
        <w:rPr>
          <w:rFonts w:ascii="Calibri" w:cs="Calibri" w:eastAsia="Calibri" w:hAnsi="Calibri"/>
          <w:i w:val="false"/>
          <w:iCs w:val="false"/>
          <w:sz w:val="21"/>
          <w:szCs w:val="21"/>
        </w:rPr>
        <w:t xml:space="preserve">Amounts payable under this policy are calculated without regard to any input tax credit to which the company or an insured person is or would be entitled under A New Tax System (Goods and Services Tax) Act 1999 (Cth), unless the schedule states otherwise. Where a payment under this policy is subject to GST, we will gross up that payment so that the recipient is placed in the same after-tax position as if no GST applied, to the extent the recipient is not entitled to an input tax credit for the corresponding acquisition.</w:t>
      </w:r>
    </w:p>
    <w:p>
      <w:pPr>
        <w:pStyle w:val="Heading1"/>
        <w:pageBreakBefore/>
        <w:pBdr>
          <w:bottom w:val="single" w:color="E2D9C8" w:sz="6"/>
        </w:pBdr>
        <w:spacing w:after="160" w:before="360"/>
      </w:pPr>
      <w:r>
        <w:rPr>
          <w:rFonts w:ascii="Calibri" w:cs="Calibri" w:eastAsia="Calibri" w:hAnsi="Calibri"/>
          <w:b/>
          <w:bCs/>
          <w:color w:val="1C1915"/>
          <w:sz w:val="30"/>
          <w:szCs w:val="30"/>
        </w:rPr>
        <w:t xml:space="preserve">Endorsement Library</w:t>
      </w:r>
    </w:p>
    <w:tbl>
      <w:tblPr>
        <w:tblW w:type="dxa" w:w="9500"/>
        <w:tblBorders>
          <w:top w:val="single" w:color="auto" w:sz="4"/>
          <w:left w:val="single" w:color="auto" w:sz="4"/>
          <w:bottom w:val="single" w:color="auto" w:sz="4"/>
          <w:right w:val="single" w:color="auto" w:sz="4"/>
          <w:insideH w:val="single" w:color="auto" w:sz="4"/>
          <w:insideV w:val="single" w:color="auto" w:sz="4"/>
        </w:tblBorders>
      </w:tblPr>
      <w:tblGrid>
        <w:gridCol w:w="1200"/>
        <w:gridCol w:w="8300"/>
      </w:tblGrid>
      <w:tr>
        <w:trPr>
          <w:tblHeader/>
        </w:trPr>
        <w:tc>
          <w:tcPr>
            <w:tcW w:type="dxa" w:w="1200"/>
            <w:shd w:fill="E2D9C8" w:val="clear"/>
            <w:tcMar>
              <w:top w:type="dxa" w:w="100"/>
              <w:left w:type="dxa" w:w="100"/>
              <w:bottom w:type="dxa" w:w="100"/>
              <w:right w:type="dxa" w:w="100"/>
            </w:tcMar>
            <w:vAlign w:val="top"/>
          </w:tcPr>
          <w:p>
            <w:r>
              <w:rPr>
                <w:rFonts w:ascii="Calibri" w:cs="Calibri" w:eastAsia="Calibri" w:hAnsi="Calibri"/>
                <w:b/>
                <w:bCs/>
                <w:sz w:val="20"/>
                <w:szCs w:val="20"/>
              </w:rPr>
              <w:t xml:space="preserve">Ref</w:t>
            </w:r>
          </w:p>
        </w:tc>
        <w:tc>
          <w:tcPr>
            <w:tcW w:type="dxa" w:w="8300"/>
            <w:shd w:fill="E2D9C8" w:val="clear"/>
            <w:tcMar>
              <w:top w:type="dxa" w:w="100"/>
              <w:left w:type="dxa" w:w="100"/>
              <w:bottom w:type="dxa" w:w="100"/>
              <w:right w:type="dxa" w:w="100"/>
            </w:tcMar>
            <w:vAlign w:val="top"/>
          </w:tcPr>
          <w:p>
            <w:r>
              <w:rPr>
                <w:rFonts w:ascii="Calibri" w:cs="Calibri" w:eastAsia="Calibri" w:hAnsi="Calibri"/>
                <w:b/>
                <w:bCs/>
                <w:sz w:val="20"/>
                <w:szCs w:val="20"/>
              </w:rPr>
              <w:t xml:space="preserve">Endorsement</w:t>
            </w:r>
          </w:p>
        </w:tc>
      </w:tr>
      <w:tr>
        <w:tc>
          <w:tcPr>
            <w:tcW w:type="dxa" w:w="1200"/>
            <w:tcMar>
              <w:top w:type="dxa" w:w="100"/>
              <w:left w:type="dxa" w:w="100"/>
              <w:bottom w:type="dxa" w:w="100"/>
              <w:right w:type="dxa" w:w="100"/>
            </w:tcMar>
            <w:vAlign w:val="top"/>
          </w:tcPr>
          <w:p>
            <w:r>
              <w:rPr>
                <w:rFonts w:ascii="Calibri" w:cs="Calibri" w:eastAsia="Calibri" w:hAnsi="Calibri"/>
                <w:b/>
                <w:bCs/>
                <w:sz w:val="20"/>
                <w:szCs w:val="20"/>
              </w:rPr>
              <w:t xml:space="preserve">E01</w:t>
            </w:r>
          </w:p>
        </w:tc>
        <w:tc>
          <w:tcPr>
            <w:tcW w:type="dxa" w:w="8300"/>
            <w:tcMar>
              <w:top w:type="dxa" w:w="100"/>
              <w:left w:type="dxa" w:w="100"/>
              <w:bottom w:type="dxa" w:w="100"/>
              <w:right w:type="dxa" w:w="100"/>
            </w:tcMar>
            <w:vAlign w:val="top"/>
          </w:tcPr>
          <w:p>
            <w:r>
              <w:rPr>
                <w:rFonts w:ascii="Calibri" w:cs="Calibri" w:eastAsia="Calibri" w:hAnsi="Calibri"/>
                <w:i w:val="false"/>
                <w:iCs w:val="false"/>
                <w:sz w:val="20"/>
                <w:szCs w:val="20"/>
              </w:rPr>
              <w:t xml:space="preserve">Extended discovery period (12, 24, 36, or 72 months, as shown in the schedule)</w:t>
            </w:r>
          </w:p>
        </w:tc>
      </w:tr>
      <w:tr>
        <w:tc>
          <w:tcPr>
            <w:tcW w:type="dxa" w:w="1200"/>
            <w:tcMar>
              <w:top w:type="dxa" w:w="100"/>
              <w:left w:type="dxa" w:w="100"/>
              <w:bottom w:type="dxa" w:w="100"/>
              <w:right w:type="dxa" w:w="100"/>
            </w:tcMar>
            <w:vAlign w:val="top"/>
          </w:tcPr>
          <w:p>
            <w:r>
              <w:rPr>
                <w:rFonts w:ascii="Calibri" w:cs="Calibri" w:eastAsia="Calibri" w:hAnsi="Calibri"/>
                <w:b/>
                <w:bCs/>
                <w:sz w:val="20"/>
                <w:szCs w:val="20"/>
              </w:rPr>
              <w:t xml:space="preserve">E02</w:t>
            </w:r>
          </w:p>
        </w:tc>
        <w:tc>
          <w:tcPr>
            <w:tcW w:type="dxa" w:w="8300"/>
            <w:tcMar>
              <w:top w:type="dxa" w:w="100"/>
              <w:left w:type="dxa" w:w="100"/>
              <w:bottom w:type="dxa" w:w="100"/>
              <w:right w:type="dxa" w:w="100"/>
            </w:tcMar>
            <w:vAlign w:val="top"/>
          </w:tcPr>
          <w:p>
            <w:r>
              <w:rPr>
                <w:rFonts w:ascii="Calibri" w:cs="Calibri" w:eastAsia="Calibri" w:hAnsi="Calibri"/>
                <w:i w:val="false"/>
                <w:iCs w:val="false"/>
                <w:sz w:val="20"/>
                <w:szCs w:val="20"/>
              </w:rPr>
              <w:t xml:space="preserve">Defence costs in addition to limit</w:t>
            </w:r>
          </w:p>
        </w:tc>
      </w:tr>
      <w:tr>
        <w:tc>
          <w:tcPr>
            <w:tcW w:type="dxa" w:w="1200"/>
            <w:tcMar>
              <w:top w:type="dxa" w:w="100"/>
              <w:left w:type="dxa" w:w="100"/>
              <w:bottom w:type="dxa" w:w="100"/>
              <w:right w:type="dxa" w:w="100"/>
            </w:tcMar>
            <w:vAlign w:val="top"/>
          </w:tcPr>
          <w:p>
            <w:r>
              <w:rPr>
                <w:rFonts w:ascii="Calibri" w:cs="Calibri" w:eastAsia="Calibri" w:hAnsi="Calibri"/>
                <w:b/>
                <w:bCs/>
                <w:sz w:val="20"/>
                <w:szCs w:val="20"/>
              </w:rPr>
              <w:t xml:space="preserve">E03</w:t>
            </w:r>
          </w:p>
        </w:tc>
        <w:tc>
          <w:tcPr>
            <w:tcW w:type="dxa" w:w="8300"/>
            <w:tcMar>
              <w:top w:type="dxa" w:w="100"/>
              <w:left w:type="dxa" w:w="100"/>
              <w:bottom w:type="dxa" w:w="100"/>
              <w:right w:type="dxa" w:w="100"/>
            </w:tcMar>
            <w:vAlign w:val="top"/>
          </w:tcPr>
          <w:p>
            <w:r>
              <w:rPr>
                <w:rFonts w:ascii="Calibri" w:cs="Calibri" w:eastAsia="Calibri" w:hAnsi="Calibri"/>
                <w:i w:val="false"/>
                <w:iCs w:val="false"/>
                <w:sz w:val="20"/>
                <w:szCs w:val="20"/>
              </w:rPr>
              <w:t xml:space="preserve">United States / Canada jurisdiction extension</w:t>
            </w:r>
          </w:p>
        </w:tc>
      </w:tr>
      <w:tr>
        <w:tc>
          <w:tcPr>
            <w:tcW w:type="dxa" w:w="1200"/>
            <w:tcMar>
              <w:top w:type="dxa" w:w="100"/>
              <w:left w:type="dxa" w:w="100"/>
              <w:bottom w:type="dxa" w:w="100"/>
              <w:right w:type="dxa" w:w="100"/>
            </w:tcMar>
            <w:vAlign w:val="top"/>
          </w:tcPr>
          <w:p>
            <w:r>
              <w:rPr>
                <w:rFonts w:ascii="Calibri" w:cs="Calibri" w:eastAsia="Calibri" w:hAnsi="Calibri"/>
                <w:b/>
                <w:bCs/>
                <w:sz w:val="20"/>
                <w:szCs w:val="20"/>
              </w:rPr>
              <w:t xml:space="preserve">E04</w:t>
            </w:r>
          </w:p>
        </w:tc>
        <w:tc>
          <w:tcPr>
            <w:tcW w:type="dxa" w:w="8300"/>
            <w:tcMar>
              <w:top w:type="dxa" w:w="100"/>
              <w:left w:type="dxa" w:w="100"/>
              <w:bottom w:type="dxa" w:w="100"/>
              <w:right w:type="dxa" w:w="100"/>
            </w:tcMar>
            <w:vAlign w:val="top"/>
          </w:tcPr>
          <w:p>
            <w:r>
              <w:rPr>
                <w:rFonts w:ascii="Calibri" w:cs="Calibri" w:eastAsia="Calibri" w:hAnsi="Calibri"/>
                <w:i w:val="false"/>
                <w:iCs w:val="false"/>
                <w:sz w:val="20"/>
                <w:szCs w:val="20"/>
              </w:rPr>
              <w:t xml:space="preserve">Increased Regulatory Investigation Costs sub-limit</w:t>
            </w:r>
          </w:p>
        </w:tc>
      </w:tr>
      <w:tr>
        <w:tc>
          <w:tcPr>
            <w:tcW w:type="dxa" w:w="1200"/>
            <w:tcMar>
              <w:top w:type="dxa" w:w="100"/>
              <w:left w:type="dxa" w:w="100"/>
              <w:bottom w:type="dxa" w:w="100"/>
              <w:right w:type="dxa" w:w="100"/>
            </w:tcMar>
            <w:vAlign w:val="top"/>
          </w:tcPr>
          <w:p>
            <w:r>
              <w:rPr>
                <w:rFonts w:ascii="Calibri" w:cs="Calibri" w:eastAsia="Calibri" w:hAnsi="Calibri"/>
                <w:b/>
                <w:bCs/>
                <w:sz w:val="20"/>
                <w:szCs w:val="20"/>
              </w:rPr>
              <w:t xml:space="preserve">E05</w:t>
            </w:r>
          </w:p>
        </w:tc>
        <w:tc>
          <w:tcPr>
            <w:tcW w:type="dxa" w:w="8300"/>
            <w:tcMar>
              <w:top w:type="dxa" w:w="100"/>
              <w:left w:type="dxa" w:w="100"/>
              <w:bottom w:type="dxa" w:w="100"/>
              <w:right w:type="dxa" w:w="100"/>
            </w:tcMar>
            <w:vAlign w:val="top"/>
          </w:tcPr>
          <w:p>
            <w:r>
              <w:rPr>
                <w:rFonts w:ascii="Calibri" w:cs="Calibri" w:eastAsia="Calibri" w:hAnsi="Calibri"/>
                <w:i w:val="false"/>
                <w:iCs w:val="false"/>
                <w:sz w:val="20"/>
                <w:szCs w:val="20"/>
              </w:rPr>
              <w:t xml:space="preserve">Increased preservation of assets sub-limit</w:t>
            </w:r>
          </w:p>
        </w:tc>
      </w:tr>
      <w:tr>
        <w:tc>
          <w:tcPr>
            <w:tcW w:type="dxa" w:w="1200"/>
            <w:tcMar>
              <w:top w:type="dxa" w:w="100"/>
              <w:left w:type="dxa" w:w="100"/>
              <w:bottom w:type="dxa" w:w="100"/>
              <w:right w:type="dxa" w:w="100"/>
            </w:tcMar>
            <w:vAlign w:val="top"/>
          </w:tcPr>
          <w:p>
            <w:r>
              <w:rPr>
                <w:rFonts w:ascii="Calibri" w:cs="Calibri" w:eastAsia="Calibri" w:hAnsi="Calibri"/>
                <w:b/>
                <w:bCs/>
                <w:sz w:val="20"/>
                <w:szCs w:val="20"/>
              </w:rPr>
              <w:t xml:space="preserve">E06</w:t>
            </w:r>
          </w:p>
        </w:tc>
        <w:tc>
          <w:tcPr>
            <w:tcW w:type="dxa" w:w="8300"/>
            <w:tcMar>
              <w:top w:type="dxa" w:w="100"/>
              <w:left w:type="dxa" w:w="100"/>
              <w:bottom w:type="dxa" w:w="100"/>
              <w:right w:type="dxa" w:w="100"/>
            </w:tcMar>
            <w:vAlign w:val="top"/>
          </w:tcPr>
          <w:p>
            <w:r>
              <w:rPr>
                <w:rFonts w:ascii="Calibri" w:cs="Calibri" w:eastAsia="Calibri" w:hAnsi="Calibri"/>
                <w:i w:val="false"/>
                <w:iCs w:val="false"/>
                <w:sz w:val="20"/>
                <w:szCs w:val="20"/>
              </w:rPr>
              <w:t xml:space="preserve">Run-off for retired directors — unlimited, non-cancellable lifetime tail</w:t>
            </w:r>
          </w:p>
        </w:tc>
      </w:tr>
      <w:tr>
        <w:tc>
          <w:tcPr>
            <w:tcW w:type="dxa" w:w="1200"/>
            <w:tcMar>
              <w:top w:type="dxa" w:w="100"/>
              <w:left w:type="dxa" w:w="100"/>
              <w:bottom w:type="dxa" w:w="100"/>
              <w:right w:type="dxa" w:w="100"/>
            </w:tcMar>
            <w:vAlign w:val="top"/>
          </w:tcPr>
          <w:p>
            <w:r>
              <w:rPr>
                <w:rFonts w:ascii="Calibri" w:cs="Calibri" w:eastAsia="Calibri" w:hAnsi="Calibri"/>
                <w:b/>
                <w:bCs/>
                <w:sz w:val="20"/>
                <w:szCs w:val="20"/>
              </w:rPr>
              <w:t xml:space="preserve">E07</w:t>
            </w:r>
          </w:p>
        </w:tc>
        <w:tc>
          <w:tcPr>
            <w:tcW w:type="dxa" w:w="8300"/>
            <w:tcMar>
              <w:top w:type="dxa" w:w="100"/>
              <w:left w:type="dxa" w:w="100"/>
              <w:bottom w:type="dxa" w:w="100"/>
              <w:right w:type="dxa" w:w="100"/>
            </w:tcMar>
            <w:vAlign w:val="top"/>
          </w:tcPr>
          <w:p>
            <w:r>
              <w:rPr>
                <w:rFonts w:ascii="Calibri" w:cs="Calibri" w:eastAsia="Calibri" w:hAnsi="Calibri"/>
                <w:i w:val="false"/>
                <w:iCs w:val="false"/>
                <w:sz w:val="20"/>
                <w:szCs w:val="20"/>
              </w:rPr>
              <w:t xml:space="preserve">Specified or broadened DIC triggers — broader drop-down (schedule-driven, additive to Section 2.3)</w:t>
            </w:r>
          </w:p>
        </w:tc>
      </w:tr>
      <w:tr>
        <w:tc>
          <w:tcPr>
            <w:tcW w:type="dxa" w:w="1200"/>
            <w:tcMar>
              <w:top w:type="dxa" w:w="100"/>
              <w:left w:type="dxa" w:w="100"/>
              <w:bottom w:type="dxa" w:w="100"/>
              <w:right w:type="dxa" w:w="100"/>
            </w:tcMar>
            <w:vAlign w:val="top"/>
          </w:tcPr>
          <w:p>
            <w:r>
              <w:rPr>
                <w:rFonts w:ascii="Calibri" w:cs="Calibri" w:eastAsia="Calibri" w:hAnsi="Calibri"/>
                <w:b/>
                <w:bCs/>
                <w:sz w:val="20"/>
                <w:szCs w:val="20"/>
              </w:rPr>
              <w:t xml:space="preserve">E08</w:t>
            </w:r>
          </w:p>
        </w:tc>
        <w:tc>
          <w:tcPr>
            <w:tcW w:type="dxa" w:w="8300"/>
            <w:tcMar>
              <w:top w:type="dxa" w:w="100"/>
              <w:left w:type="dxa" w:w="100"/>
              <w:bottom w:type="dxa" w:w="100"/>
              <w:right w:type="dxa" w:w="100"/>
            </w:tcMar>
            <w:vAlign w:val="top"/>
          </w:tcPr>
          <w:p>
            <w:r>
              <w:rPr>
                <w:rFonts w:ascii="Calibri" w:cs="Calibri" w:eastAsia="Calibri" w:hAnsi="Calibri"/>
                <w:i w:val="false"/>
                <w:iCs w:val="false"/>
                <w:sz w:val="20"/>
                <w:szCs w:val="20"/>
              </w:rPr>
              <w:t xml:space="preserve">Spousal / domestic partner liability extension (for personal guarantees)</w:t>
            </w:r>
          </w:p>
        </w:tc>
      </w:tr>
      <w:tr>
        <w:tc>
          <w:tcPr>
            <w:tcW w:type="dxa" w:w="1200"/>
            <w:tcMar>
              <w:top w:type="dxa" w:w="100"/>
              <w:left w:type="dxa" w:w="100"/>
              <w:bottom w:type="dxa" w:w="100"/>
              <w:right w:type="dxa" w:w="100"/>
            </w:tcMar>
            <w:vAlign w:val="top"/>
          </w:tcPr>
          <w:p>
            <w:r>
              <w:rPr>
                <w:rFonts w:ascii="Calibri" w:cs="Calibri" w:eastAsia="Calibri" w:hAnsi="Calibri"/>
                <w:b/>
                <w:bCs/>
                <w:sz w:val="20"/>
                <w:szCs w:val="20"/>
              </w:rPr>
              <w:t xml:space="preserve">E09</w:t>
            </w:r>
          </w:p>
        </w:tc>
        <w:tc>
          <w:tcPr>
            <w:tcW w:type="dxa" w:w="8300"/>
            <w:tcMar>
              <w:top w:type="dxa" w:w="100"/>
              <w:left w:type="dxa" w:w="100"/>
              <w:bottom w:type="dxa" w:w="100"/>
              <w:right w:type="dxa" w:w="100"/>
            </w:tcMar>
            <w:vAlign w:val="top"/>
          </w:tcPr>
          <w:p>
            <w:r>
              <w:rPr>
                <w:rFonts w:ascii="Calibri" w:cs="Calibri" w:eastAsia="Calibri" w:hAnsi="Calibri"/>
                <w:i w:val="false"/>
                <w:iCs w:val="false"/>
                <w:sz w:val="20"/>
                <w:szCs w:val="20"/>
              </w:rPr>
              <w:t xml:space="preserve">NFP / charity trustee extension</w:t>
            </w:r>
          </w:p>
        </w:tc>
      </w:tr>
    </w:tbl>
    <w:p>
      <w:pPr>
        <w:spacing w:before="400"/>
      </w:pPr>
    </w:p>
    <w:p>
      <w:pPr>
        <w:spacing w:after="160"/>
        <w:jc w:val="both"/>
      </w:pPr>
      <w:r>
        <w:rPr>
          <w:rFonts w:ascii="Calibri" w:cs="Calibri" w:eastAsia="Calibri" w:hAnsi="Calibri"/>
          <w:b/>
          <w:bCs/>
          <w:i w:val="false"/>
          <w:iCs w:val="false"/>
          <w:sz w:val="21"/>
          <w:szCs w:val="21"/>
        </w:rPr>
        <w:t xml:space="preserve">Meridian Commons — Open Source Insurance Wording</w:t>
      </w:r>
      <w:r>
        <w:rPr>
          <w:rFonts w:ascii="Calibri" w:cs="Calibri" w:eastAsia="Calibri" w:hAnsi="Calibri"/>
          <w:i w:val="false"/>
          <w:iCs w:val="false"/>
          <w:sz w:val="21"/>
          <w:szCs w:val="21"/>
        </w:rPr>
        <w:t xml:space="preserve"> · CC BY 4.0 applies to the wording text only; the Meridian name, bearing mark, and Cuttleflow brand assets are excluded from the licence. Doc ref 2026/SADO/0001 · v1.2.0-DRAFT · July 2026. This version supersedes v1.0.0 (April 2026, superseded).</w:t>
      </w:r>
    </w:p>
    <w:p>
      <w:pPr>
        <w:spacing w:after="160"/>
        <w:jc w:val="both"/>
      </w:pPr>
      <w:r>
        <w:rPr>
          <w:rFonts w:ascii="Calibri" w:cs="Calibri" w:eastAsia="Calibri" w:hAnsi="Calibri"/>
          <w:i w:val="false"/>
          <w:iCs w:val="false"/>
          <w:sz w:val="21"/>
          <w:szCs w:val="21"/>
        </w:rPr>
        <w:t xml:space="preserve">Designed for the Australian market. Assumes application of the Insurance Contracts Act 1984 (Cth). Adopters must obtain their own legal advice and their capacity provider's approval before use. This document is DRAFT — SUBJECT TO LEGAL REVIEW — NOT FOR USE until Wording Partner sign-off; the Wording Partner's review letter runs to Cuttleflow Systems Pty Ltd only. Users are responsible for their own legal review, regulatory compliance, and reinsurance alignment.</w:t>
      </w:r>
    </w:p>
    <w:sectPr>
      <w:headerReference w:type="default" r:id="rId7"/>
      <w:footerReference w:type="default" r:id="rId8"/>
      <w:pgSz w:w="11906" w:h="16838" w:orient="portrait"/>
      <w:pgMar w:top="1134" w:right="1134" w:bottom="1134" w:left="1134"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E2D9C8" w:sz="4"/>
      </w:pBdr>
      <w:tabs>
        <w:tab w:val="right" w:pos="9026"/>
      </w:tabs>
      <w:spacing w:before="120"/>
    </w:pPr>
    <w:r>
      <w:rPr>
        <w:rFonts w:ascii="Calibri" w:cs="Calibri" w:eastAsia="Calibri" w:hAnsi="Calibri"/>
        <w:color w:val="1C1915"/>
        <w:sz w:val="15"/>
        <w:szCs w:val="15"/>
      </w:rPr>
      <w:t xml:space="preserve">Meridian Side A D&amp;O — 2026/SADO/0001 · v1.2.0-DRAFT · DRAFT — SUBJECT TO LEGAL REVIEW — NOT FOR USE	</w:t>
    </w:r>
    <w:r>
      <w:rPr>
        <w:rFonts w:ascii="Calibri" w:cs="Calibri" w:eastAsia="Calibri" w:hAnsi="Calibri"/>
        <w:color w:val="1C1915"/>
        <w:sz w:val="15"/>
        <w:szCs w:val="15"/>
      </w:rPr>
      <w:t xml:space="preserve">Page </w:t>
    </w:r>
    <w:r>
      <w:rPr>
        <w:rFonts w:ascii="Calibri" w:cs="Calibri" w:eastAsia="Calibri" w:hAnsi="Calibri"/>
        <w:color w:val="1C1915"/>
        <w:sz w:val="15"/>
        <w:szCs w:val="15"/>
      </w:rPr>
      <w:fldChar w:fldCharType="begin"/>
      <w:instrText xml:space="preserve">PAGE</w:instrText>
      <w:fldChar w:fldCharType="separate"/>
      <w:fldChar w:fldCharType="end"/>
    </w:r>
    <w:r>
      <w:rPr>
        <w:rFonts w:ascii="Calibri" w:cs="Calibri" w:eastAsia="Calibri" w:hAnsi="Calibri"/>
        <w:color w:val="1C1915"/>
        <w:sz w:val="15"/>
        <w:szCs w:val="15"/>
      </w:rPr>
      <w:t xml:space="preserve"> of </w:t>
    </w:r>
    <w:r>
      <w:rPr>
        <w:rFonts w:ascii="Calibri" w:cs="Calibri" w:eastAsia="Calibri" w:hAnsi="Calibri"/>
        <w:color w:val="1C1915"/>
        <w:sz w:val="15"/>
        <w:szCs w:val="15"/>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C24E2C" w:sz="4"/>
      </w:pBdr>
      <w:spacing w:after="120"/>
      <w:jc w:val="center"/>
    </w:pPr>
    <w:r>
      <w:rPr>
        <w:rFonts w:ascii="Calibri" w:cs="Calibri" w:eastAsia="Calibri" w:hAnsi="Calibri"/>
        <w:b/>
        <w:bCs/>
        <w:color w:val="1C1915"/>
        <w:sz w:val="16"/>
        <w:szCs w:val="16"/>
      </w:rPr>
      <w:t xml:space="preserve">DRAFT — SUBJECT TO LEGAL REVIEW — NOT FOR USE</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360" w:hanging="2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1C1915"/>
      <w:sz w:val="32"/>
      <w:szCs w:val="32"/>
    </w:rPr>
  </w:style>
  <w:style w:type="paragraph" w:styleId="Heading2">
    <w:name w:val="Heading 2"/>
    <w:basedOn w:val="Normal"/>
    <w:next w:val="Normal"/>
    <w:qFormat/>
    <w:rPr>
      <w:color w:val="1C1915"/>
      <w:sz w:val="26"/>
      <w:szCs w:val="26"/>
    </w:rPr>
  </w:style>
  <w:style w:type="paragraph" w:styleId="Heading3">
    <w:name w:val="Heading 3"/>
    <w:basedOn w:val="Normal"/>
    <w:next w:val="Normal"/>
    <w:qFormat/>
    <w:rPr>
      <w:color w:val="1C1915"/>
      <w:sz w:val="24"/>
      <w:szCs w:val="24"/>
    </w:rPr>
  </w:style>
  <w:style w:type="paragraph" w:styleId="Heading4">
    <w:name w:val="Heading 4"/>
    <w:basedOn w:val="Normal"/>
    <w:next w:val="Normal"/>
    <w:qFormat/>
    <w:rPr>
      <w:i/>
      <w:iCs/>
      <w:color w:val="1C1915"/>
    </w:rPr>
  </w:style>
  <w:style w:type="paragraph" w:styleId="Heading5">
    <w:name w:val="Heading 5"/>
    <w:basedOn w:val="Normal"/>
    <w:next w:val="Normal"/>
    <w:qFormat/>
    <w:rPr>
      <w:color w:val="1C1915"/>
    </w:rPr>
  </w:style>
  <w:style w:type="paragraph" w:styleId="Heading6">
    <w:name w:val="Heading 6"/>
    <w:basedOn w:val="Normal"/>
    <w:next w:val="Normal"/>
    <w:qFormat/>
    <w:rPr>
      <w:color w:val="1C1915"/>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1C1915"/>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 Id="rIdBearing" Type="http://schemas.openxmlformats.org/officeDocument/2006/relationships/image" Target="media/bearing.png"/></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2026-07-18T01:24:40.903Z</dcterms:created>
  <dcterms:modified xsi:type="dcterms:W3CDTF">2026-07-18T01:24:40.903Z</dcterms:modified>
</cp:coreProperties>
</file>

<file path=docProps/custom.xml><?xml version="1.0" encoding="utf-8"?>
<Properties xmlns="http://schemas.openxmlformats.org/officeDocument/2006/custom-properties" xmlns:vt="http://schemas.openxmlformats.org/officeDocument/2006/docPropsVTypes"/>
</file>