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60"/>
        <w:jc w:val="center"/>
      </w:pPr>
      <w:r>
        <w:rPr>
          <w:b/>
          <w:bCs/>
          <w:color w:val="1C1915"/>
          <w:sz w:val="24"/>
          <w:szCs w:val="24"/>
        </w:rPr>
        <w:t xml:space="preserve">DRAFT — SUBJECT TO LEGAL REVIEW — NOT FOR USE</w:t>
      </w:r>
    </w:p>
    <w:p>
      <w:pPr>
        <w:spacing w:after="300"/>
        <w:jc w:val="center"/>
      </w:pPr>
      <w:r>
        <w:rPr>
          <w:i/>
          <w:iCs/>
          <w:sz w:val="22"/>
          <w:szCs w:val="22"/>
        </w:rPr>
        <w:t xml:space="preserve">Professional Indemnity Insurance — Policy Wording</w:t>
      </w:r>
    </w:p>
    <w:p>
      <w:pPr>
        <w:spacing w:after="100"/>
        <w:jc w:val="center"/>
      </w:pPr>
      <w:r>
        <w:rPr>
          <w:b/>
          <w:bCs/>
          <w:sz w:val="20"/>
          <w:szCs w:val="20"/>
        </w:rPr>
        <w:t xml:space="preserve">cuttleflow SYSTEMS   33°53′S · 151°16′E · SYDNEY</w:t>
      </w:r>
    </w:p>
    <w:p>
      <w:pPr>
        <w:spacing w:after="100" w:before="400"/>
        <w:jc w:val="center"/>
      </w:pPr>
      <w:r>
        <w:rPr>
          <w:b/>
          <w:bCs/>
          <w:sz w:val="36"/>
          <w:szCs w:val="36"/>
        </w:rPr>
        <w:t xml:space="preserve">PROFESSIONAL INDEMNITY INSURANCE</w:t>
      </w:r>
    </w:p>
    <w:p>
      <w:pPr>
        <w:spacing w:after="300"/>
        <w:jc w:val="center"/>
      </w:pPr>
      <w:r>
        <w:rPr>
          <w:sz w:val="26"/>
          <w:szCs w:val="26"/>
        </w:rPr>
        <w:t xml:space="preserve">Policy Wording</w:t>
      </w:r>
    </w:p>
    <w:p>
      <w:pPr>
        <w:spacing w:after="100"/>
        <w:jc w:val="center"/>
      </w:pPr>
      <w:r>
        <w:rPr>
          <w:sz w:val="22"/>
          <w:szCs w:val="22"/>
        </w:rPr>
        <w:t xml:space="preserve">Meridian Commons — Open Source Insurance Wording</w:t>
      </w:r>
    </w:p>
    <w:p>
      <w:pPr>
        <w:spacing w:after="100"/>
        <w:jc w:val="center"/>
      </w:pPr>
      <w:r>
        <w:rPr>
          <w:b/>
          <w:bCs/>
          <w:sz w:val="20"/>
          <w:szCs w:val="20"/>
        </w:rPr>
        <w:t xml:space="preserve">v1.2.0-DRAFT · July 2026 · Creative Commons BY 4.0 (wording text only — see Licence and Trademark Notice)</w:t>
      </w:r>
    </w:p>
    <w:p>
      <w:pPr>
        <w:spacing w:after="400"/>
        <w:jc w:val="center"/>
      </w:pPr>
      <w:r>
        <w:rPr>
          <w:sz w:val="20"/>
          <w:szCs w:val="20"/>
        </w:rPr>
        <w:t xml:space="preserve">Document ref: 2026/PI/0001 · Cuttleflow Systems Pty Ltd</w:t>
      </w:r>
    </w:p>
    <w:p>
      <w:pPr>
        <w:spacing w:after="100"/>
        <w:jc w:val="center"/>
      </w:pPr>
      <w:r>
        <w:rPr>
          <w:i/>
          <w:iCs/>
          <w:sz w:val="19"/>
          <w:szCs w:val="19"/>
        </w:rPr>
        <w:t xml:space="preserve">This is a DRAFT remediation of v1.0.0 (April 2026), prepared to close a 21-finding legal audit. It is not settled wording. It must not be issued, quoted from, or bound until Wording Partner sign-off is obtained.</w:t>
      </w:r>
    </w:p>
    <w:p>
      <w:r>
        <w:br w:type="page"/>
      </w:r>
    </w:p>
    <w:p>
      <w:pPr>
        <w:spacing w:after="180" w:before="360"/>
      </w:pPr>
      <w:r>
        <w:rPr>
          <w:b/>
          <w:bCs/>
          <w:sz w:val="27"/>
          <w:szCs w:val="27"/>
        </w:rPr>
        <w:t xml:space="preserve">Changes From v1.1.0</w:t>
      </w:r>
    </w:p>
    <w:p>
      <w:pPr>
        <w:spacing w:after="160"/>
      </w:pPr>
      <w:r>
        <w:rPr>
          <w:sz w:val="21"/>
          <w:szCs w:val="21"/>
        </w:rPr>
        <w:t xml:space="preserve">Provenance remediation ahead of Commons publication (register PROV-CMN-002). Drafting-only; no coverage position is changed and legal effect is preserved for every clause. The war limb of exclusion 3.10 was reworded from the NMA-derived peril sequence into house wording; the sanctions limitation was reworded to remove the LMA-derived sanctions-triplet formulation, with the regime scope unchanged; and the Pollution definition was reworded to remove the ISO-derived pollution-trigger formulation. Moving the sanctions limitation out of clause 3.10 into a standalone clause is recorded as a deferred drafting improvement.</w:t>
      </w:r>
    </w:p>
    <w:p>
      <w:pPr>
        <w:spacing w:after="180" w:before="360"/>
      </w:pPr>
      <w:r>
        <w:rPr>
          <w:b/>
          <w:bCs/>
          <w:sz w:val="27"/>
          <w:szCs w:val="27"/>
        </w:rPr>
        <w:t xml:space="preserve"> Changes From v1.0.0 (April 2026)</w:t>
      </w:r>
    </w:p>
    <w:p>
      <w:pPr>
        <w:spacing w:after="160"/>
      </w:pPr>
      <w:r>
        <w:rPr>
          <w:sz w:val="21"/>
          <w:szCs w:val="21"/>
        </w:rPr>
        <w:t xml:space="preserve">This is a remediation release (v1.1.0-DRAFT) responding to a 21-finding legal audit of v1.0.0 (3 Critical, 9 Major, 6 Minor, 3 Polish). It is a DRAFT pending Wording Partner sign-off — see the notice on every page. Full detail, including the option chosen for every judgement call and any findings not remediated in this pass, is recorded in the companion Change Register, PI_change_register_v1_1_0.md. This version also carries two further changes made after the 21-finding audit closed: harmonising the conduct exclusion with the Meridian settled position used elsewhere in the library (see “Post-Audit Harmonisation” below), and an underwriter-directed repositioning of the run-off cover (see “Underwriter-Directed Change” below).</w:t>
      </w:r>
    </w:p>
    <w:p>
      <w:pPr>
        <w:spacing w:after="160"/>
      </w:pPr>
      <w:r>
        <w:rPr>
          <w:b/>
          <w:bCs/>
          <w:sz w:val="21"/>
          <w:szCs w:val="21"/>
        </w:rPr>
        <w:t xml:space="preserve">Critical</w:t>
      </w:r>
    </w:p>
    <w:p>
      <w:pPr>
        <w:pStyle w:val="ListParagraph"/>
        <w:numPr>
          <w:ilvl w:val="0"/>
          <w:numId w:val="1"/>
        </w:numPr>
        <w:spacing w:after="80"/>
      </w:pPr>
      <w:r>
        <w:rPr>
          <w:sz w:val="21"/>
          <w:szCs w:val="21"/>
        </w:rPr>
        <w:t xml:space="preserve">Added this Version and Document History convention, dated the version block to actual publication, and recorded that a corrupted duplicate file sharing the v1.0.0 filename was found in the source library during audit — see Section "Version and Document History" below for the repository action this requires.</w:t>
      </w:r>
    </w:p>
    <w:p>
      <w:pPr>
        <w:pStyle w:val="ListParagraph"/>
        <w:numPr>
          <w:ilvl w:val="0"/>
          <w:numId w:val="1"/>
        </w:numPr>
        <w:spacing w:after="80"/>
      </w:pPr>
      <w:r>
        <w:rPr>
          <w:sz w:val="21"/>
          <w:szCs w:val="21"/>
        </w:rPr>
        <w:t xml:space="preserve">Added a general Insurance Contracts Act 1984 (Cth) savings clause (new Section 6.1), expressly preserving s.54 and applying it to Sections 5.1, 5.3, 5.4, 5.5 and 5.6.</w:t>
      </w:r>
    </w:p>
    <w:p>
      <w:pPr>
        <w:pStyle w:val="ListParagraph"/>
        <w:numPr>
          <w:ilvl w:val="0"/>
          <w:numId w:val="1"/>
        </w:numPr>
        <w:spacing w:after="80"/>
      </w:pPr>
      <w:r>
        <w:rPr>
          <w:sz w:val="21"/>
          <w:szCs w:val="21"/>
        </w:rPr>
        <w:t xml:space="preserve">Added an Allocation clause with a Senior Counsel determination mechanism for claims mixing covered and uncovered conduct or parties (new Section 4.7).</w:t>
      </w:r>
    </w:p>
    <w:p>
      <w:pPr>
        <w:spacing w:after="160"/>
      </w:pPr>
      <w:r>
        <w:rPr>
          <w:b/>
          <w:bCs/>
          <w:sz w:val="21"/>
          <w:szCs w:val="21"/>
        </w:rPr>
        <w:t xml:space="preserve">Major</w:t>
      </w:r>
    </w:p>
    <w:p>
      <w:pPr>
        <w:pStyle w:val="ListParagraph"/>
        <w:numPr>
          <w:ilvl w:val="0"/>
          <w:numId w:val="1"/>
        </w:numPr>
        <w:spacing w:after="80"/>
      </w:pPr>
      <w:r>
        <w:rPr>
          <w:sz w:val="21"/>
          <w:szCs w:val="21"/>
        </w:rPr>
        <w:t xml:space="preserve">Removed the orphaned </w:t>
      </w:r>
      <w:r>
        <w:rPr>
          <w:b/>
          <w:bCs/>
          <w:sz w:val="21"/>
          <w:szCs w:val="21"/>
        </w:rPr>
        <w:t xml:space="preserve">Digital media content</w:t>
      </w:r>
      <w:r>
        <w:rPr>
          <w:sz w:val="21"/>
          <w:szCs w:val="21"/>
        </w:rPr>
        <w:t xml:space="preserve"> definition (Section 1); general liability cover under Section 2.1 already responds to defamation and IP claims arising from published content, so no substantive cover is lost.</w:t>
      </w:r>
    </w:p>
    <w:p>
      <w:pPr>
        <w:pStyle w:val="ListParagraph"/>
        <w:numPr>
          <w:ilvl w:val="0"/>
          <w:numId w:val="1"/>
        </w:numPr>
        <w:spacing w:after="80"/>
      </w:pPr>
      <w:r>
        <w:rPr>
          <w:sz w:val="21"/>
          <w:szCs w:val="21"/>
        </w:rPr>
        <w:t xml:space="preserve">Broadened the claim-aggregation trigger from "the same act, error, or omission" to "the same, similar, or related act(s), error(s), or omission(s)" (Section 1, </w:t>
      </w:r>
      <w:r>
        <w:rPr>
          <w:b/>
          <w:bCs/>
          <w:sz w:val="21"/>
          <w:szCs w:val="21"/>
        </w:rPr>
        <w:t xml:space="preserve">Claim</w:t>
      </w:r>
      <w:r>
        <w:rPr>
          <w:sz w:val="21"/>
          <w:szCs w:val="21"/>
        </w:rPr>
        <w:t xml:space="preserve">).</w:t>
      </w:r>
    </w:p>
    <w:p>
      <w:pPr>
        <w:pStyle w:val="ListParagraph"/>
        <w:numPr>
          <w:ilvl w:val="0"/>
          <w:numId w:val="1"/>
        </w:numPr>
        <w:spacing w:after="80"/>
      </w:pPr>
      <w:r>
        <w:rPr>
          <w:sz w:val="21"/>
          <w:szCs w:val="21"/>
        </w:rPr>
        <w:t xml:space="preserve">Extended severability/non-imputation to the duty of disclosure (Section 6.2) and added a general severability clause for the Section 5 obligations (new Section 5.9).</w:t>
      </w:r>
    </w:p>
    <w:p>
      <w:pPr>
        <w:pStyle w:val="ListParagraph"/>
        <w:numPr>
          <w:ilvl w:val="0"/>
          <w:numId w:val="1"/>
        </w:numPr>
        <w:spacing w:after="80"/>
      </w:pPr>
      <w:r>
        <w:rPr>
          <w:sz w:val="21"/>
          <w:szCs w:val="21"/>
        </w:rPr>
        <w:t xml:space="preserve">Extended Loss of Documents cover to electronic documents and data, and clarified its boundary with the Cyber Event exclusion (Section 2.4.1, retitled "Loss of Documents and Data").</w:t>
      </w:r>
    </w:p>
    <w:p>
      <w:pPr>
        <w:pStyle w:val="ListParagraph"/>
        <w:numPr>
          <w:ilvl w:val="0"/>
          <w:numId w:val="1"/>
        </w:numPr>
        <w:spacing w:after="80"/>
      </w:pPr>
      <w:r>
        <w:rPr>
          <w:sz w:val="21"/>
          <w:szCs w:val="21"/>
        </w:rPr>
        <w:t xml:space="preserve">Aligned the Claim / Inquiry Costs triggers and stated which provision governs as a regulatory matter progresses (Section 2.4.4).</w:t>
      </w:r>
    </w:p>
    <w:p>
      <w:pPr>
        <w:pStyle w:val="ListParagraph"/>
        <w:numPr>
          <w:ilvl w:val="0"/>
          <w:numId w:val="1"/>
        </w:numPr>
        <w:spacing w:after="80"/>
      </w:pPr>
      <w:r>
        <w:rPr>
          <w:sz w:val="21"/>
          <w:szCs w:val="21"/>
        </w:rPr>
        <w:t xml:space="preserve">Defined </w:t>
      </w:r>
      <w:r>
        <w:rPr>
          <w:b/>
          <w:bCs/>
          <w:sz w:val="21"/>
          <w:szCs w:val="21"/>
        </w:rPr>
        <w:t xml:space="preserve">Joint venture</w:t>
      </w:r>
      <w:r>
        <w:rPr>
          <w:sz w:val="21"/>
          <w:szCs w:val="21"/>
        </w:rPr>
        <w:t xml:space="preserve"> (Section 1) and narrowed the Joint Ventures extension to the insured's own conduct and proportionate share (Section 2.4.10).</w:t>
      </w:r>
    </w:p>
    <w:p>
      <w:pPr>
        <w:pStyle w:val="ListParagraph"/>
        <w:numPr>
          <w:ilvl w:val="0"/>
          <w:numId w:val="1"/>
        </w:numPr>
        <w:spacing w:after="80"/>
      </w:pPr>
      <w:r>
        <w:rPr>
          <w:sz w:val="21"/>
          <w:szCs w:val="21"/>
        </w:rPr>
        <w:t xml:space="preserve">Added a Jurisdiction clause alongside Governing Law (new Section 6.5).</w:t>
      </w:r>
    </w:p>
    <w:p>
      <w:pPr>
        <w:pStyle w:val="ListParagraph"/>
        <w:numPr>
          <w:ilvl w:val="0"/>
          <w:numId w:val="1"/>
        </w:numPr>
        <w:spacing w:after="80"/>
      </w:pPr>
      <w:r>
        <w:rPr>
          <w:sz w:val="21"/>
          <w:szCs w:val="21"/>
        </w:rPr>
        <w:t xml:space="preserve">Added a licence-boundary and trademark carve-out for the CC BY 4.0 licence (new Licence and Trademark Notice).</w:t>
      </w:r>
    </w:p>
    <w:p>
      <w:pPr>
        <w:pStyle w:val="ListParagraph"/>
        <w:numPr>
          <w:ilvl w:val="0"/>
          <w:numId w:val="1"/>
        </w:numPr>
        <w:spacing w:after="80"/>
      </w:pPr>
      <w:r>
        <w:rPr>
          <w:sz w:val="21"/>
          <w:szCs w:val="21"/>
        </w:rPr>
        <w:t xml:space="preserve">Bounded and priced the automatic run-off tail: 12 months automatic and free; months 13–72 available only by priced election under Endorsement E01 (Section 2.4.12). This position was subsequently superseded by an underwriter-directed change — see “Underwriter-Directed Change” below.</w:t>
      </w:r>
    </w:p>
    <w:p>
      <w:pPr>
        <w:spacing w:after="160"/>
      </w:pPr>
      <w:r>
        <w:rPr>
          <w:b/>
          <w:bCs/>
          <w:sz w:val="21"/>
          <w:szCs w:val="21"/>
        </w:rPr>
        <w:t xml:space="preserve">Minor</w:t>
      </w:r>
    </w:p>
    <w:p>
      <w:pPr>
        <w:pStyle w:val="ListParagraph"/>
        <w:numPr>
          <w:ilvl w:val="0"/>
          <w:numId w:val="1"/>
        </w:numPr>
        <w:spacing w:after="80"/>
      </w:pPr>
      <w:r>
        <w:rPr>
          <w:sz w:val="21"/>
          <w:szCs w:val="21"/>
        </w:rPr>
        <w:t xml:space="preserve">Capped Continuous Cover at the lower of the current and previous policy's limit of liability (Section 2.4.5).</w:t>
      </w:r>
    </w:p>
    <w:p>
      <w:pPr>
        <w:pStyle w:val="ListParagraph"/>
        <w:numPr>
          <w:ilvl w:val="0"/>
          <w:numId w:val="1"/>
        </w:numPr>
        <w:spacing w:after="80"/>
      </w:pPr>
      <w:r>
        <w:rPr>
          <w:sz w:val="21"/>
          <w:szCs w:val="21"/>
        </w:rPr>
        <w:t xml:space="preserve">Aligned the "predecessor practice" phrasing between the </w:t>
      </w:r>
      <w:r>
        <w:rPr>
          <w:b/>
          <w:bCs/>
          <w:sz w:val="21"/>
          <w:szCs w:val="21"/>
        </w:rPr>
        <w:t xml:space="preserve">Insured person</w:t>
      </w:r>
      <w:r>
        <w:rPr>
          <w:sz w:val="21"/>
          <w:szCs w:val="21"/>
        </w:rPr>
        <w:t xml:space="preserve"> and </w:t>
      </w:r>
      <w:r>
        <w:rPr>
          <w:b/>
          <w:bCs/>
          <w:sz w:val="21"/>
          <w:szCs w:val="21"/>
        </w:rPr>
        <w:t xml:space="preserve">Predecessor practice</w:t>
      </w:r>
      <w:r>
        <w:rPr>
          <w:sz w:val="21"/>
          <w:szCs w:val="21"/>
        </w:rPr>
        <w:t xml:space="preserve"> definitions (Section 1).</w:t>
      </w:r>
    </w:p>
    <w:p>
      <w:pPr>
        <w:pStyle w:val="ListParagraph"/>
        <w:numPr>
          <w:ilvl w:val="0"/>
          <w:numId w:val="1"/>
        </w:numPr>
        <w:spacing w:after="80"/>
      </w:pPr>
      <w:r>
        <w:rPr>
          <w:sz w:val="21"/>
          <w:szCs w:val="21"/>
        </w:rPr>
        <w:t xml:space="preserve">Made the court-attendance daily rate and the newly-acquired-subsidiary revenue threshold schedule-configurable, retaining the previous figures as defaults (Sections 2.4.8, 2.4.9).</w:t>
      </w:r>
    </w:p>
    <w:p>
      <w:pPr>
        <w:pStyle w:val="ListParagraph"/>
        <w:numPr>
          <w:ilvl w:val="0"/>
          <w:numId w:val="1"/>
        </w:numPr>
        <w:spacing w:after="80"/>
      </w:pPr>
      <w:r>
        <w:rPr>
          <w:sz w:val="21"/>
          <w:szCs w:val="21"/>
        </w:rPr>
        <w:t xml:space="preserve">Added a defined standard and an insurer notice/objection process to the Avoiding a Potential Claim extension (Section 2.3).</w:t>
      </w:r>
    </w:p>
    <w:p>
      <w:pPr>
        <w:pStyle w:val="ListParagraph"/>
        <w:numPr>
          <w:ilvl w:val="0"/>
          <w:numId w:val="1"/>
        </w:numPr>
        <w:spacing w:after="80"/>
      </w:pPr>
      <w:r>
        <w:rPr>
          <w:sz w:val="21"/>
          <w:szCs w:val="21"/>
        </w:rPr>
        <w:t xml:space="preserve">Moved Cuttleflow Systems' branding from the running header to the cover page only; the running header/footer now carries the DRAFT notice, supporting capacity-neutral operative text for adopting agencies (Section 2.4.8 area / document-wide).</w:t>
      </w:r>
    </w:p>
    <w:p>
      <w:pPr>
        <w:spacing w:after="160"/>
      </w:pPr>
      <w:r>
        <w:rPr>
          <w:b/>
          <w:bCs/>
          <w:sz w:val="21"/>
          <w:szCs w:val="21"/>
        </w:rPr>
        <w:t xml:space="preserve">Polish</w:t>
      </w:r>
    </w:p>
    <w:p>
      <w:pPr>
        <w:pStyle w:val="ListParagraph"/>
        <w:numPr>
          <w:ilvl w:val="0"/>
          <w:numId w:val="1"/>
        </w:numPr>
        <w:spacing w:after="80"/>
      </w:pPr>
      <w:r>
        <w:rPr>
          <w:sz w:val="21"/>
          <w:szCs w:val="21"/>
        </w:rPr>
        <w:t xml:space="preserve">Cited s.40(3) of the Insurance Contracts Act 1984 (Cth) in the Notification of Circumstances clause (Section 2.2).</w:t>
      </w:r>
    </w:p>
    <w:p>
      <w:pPr>
        <w:pStyle w:val="ListParagraph"/>
        <w:numPr>
          <w:ilvl w:val="0"/>
          <w:numId w:val="1"/>
        </w:numPr>
        <w:spacing w:after="80"/>
      </w:pPr>
      <w:r>
        <w:rPr>
          <w:sz w:val="21"/>
          <w:szCs w:val="21"/>
        </w:rPr>
        <w:t xml:space="preserve">Bolded </w:t>
      </w:r>
      <w:r>
        <w:rPr>
          <w:b/>
          <w:bCs/>
          <w:sz w:val="21"/>
          <w:szCs w:val="21"/>
        </w:rPr>
        <w:t xml:space="preserve">confidential information</w:t>
      </w:r>
      <w:r>
        <w:rPr>
          <w:sz w:val="21"/>
          <w:szCs w:val="21"/>
        </w:rPr>
        <w:t xml:space="preserve"> consistently as a defined term where used (Section 2.1).</w:t>
      </w:r>
    </w:p>
    <w:p>
      <w:pPr>
        <w:spacing w:after="160"/>
      </w:pPr>
      <w:r>
        <w:rPr>
          <w:b/>
          <w:bCs/>
          <w:sz w:val="21"/>
          <w:szCs w:val="21"/>
        </w:rPr>
        <w:t xml:space="preserve">Post-Audit Harmonisation</w:t>
      </w:r>
    </w:p>
    <w:p>
      <w:pPr>
        <w:pStyle w:val="ListParagraph"/>
        <w:numPr>
          <w:ilvl w:val="0"/>
          <w:numId w:val="1"/>
        </w:numPr>
        <w:spacing w:after="80"/>
      </w:pPr>
      <w:r>
        <w:rPr>
          <w:sz w:val="21"/>
          <w:szCs w:val="21"/>
        </w:rPr>
        <w:t xml:space="preserve">Moved the conduct exclusion (Section 3.8, Deliberate and Dishonest Acts) from an “in fact” trigger to the Meridian settled final-adjudication standard used in the D&amp;O and Side-A wordings; added </w:t>
      </w:r>
      <w:r>
        <w:rPr>
          <w:b/>
          <w:bCs/>
          <w:sz w:val="21"/>
          <w:szCs w:val="21"/>
        </w:rPr>
        <w:t xml:space="preserve">Final adjudication</w:t>
      </w:r>
      <w:r>
        <w:rPr>
          <w:sz w:val="21"/>
          <w:szCs w:val="21"/>
        </w:rPr>
        <w:t xml:space="preserve"> as a defined term (Section 1); and threaded the change through defence-costs advancement/repayment (Section 4.3) and allocation (Section 4.7). See the Change Register entry “Post-audit harmonisation — conduct exclusion moved to final-adjudication standard per settled positions.”</w:t>
      </w:r>
    </w:p>
    <w:p>
      <w:pPr>
        <w:spacing w:after="160"/>
      </w:pPr>
      <w:r>
        <w:rPr>
          <w:b/>
          <w:bCs/>
          <w:sz w:val="21"/>
          <w:szCs w:val="21"/>
        </w:rPr>
        <w:t xml:space="preserve">Underwriter-Directed Change</w:t>
      </w:r>
    </w:p>
    <w:p>
      <w:pPr>
        <w:pStyle w:val="ListParagraph"/>
        <w:numPr>
          <w:ilvl w:val="0"/>
          <w:numId w:val="1"/>
        </w:numPr>
        <w:spacing w:after="160"/>
      </w:pPr>
      <w:r>
        <w:rPr>
          <w:sz w:val="21"/>
          <w:szCs w:val="21"/>
        </w:rPr>
        <w:t xml:space="preserve">Repositioned Run-Off Cover on the underwriter’s direction (Section 2.4.12): on permanent cessation of practice, cover now continues automatically and without additional premium only to the end of the policy period (for claims first made and notified before expiry), replacing the previous 12-month automatic free tail; you may ask us for a quotation to extend run-off cover for a period of up to 84 months after the end of the policy period, which we may offer, on terms and premium of our choosing, under Endorsement E01, but which we are not obliged to offer. This is an authorised underwriter-directed change in coverage position, not a drafting-defect fix; it supersedes the Minor finding M9 fix recorded in the Change Register (see the Change Register entry “UW1 — Underwriter-directed: run-off repositioned to period-end automatic + quotation-on-request”). Notification of Circumstances under Section 2.2 and s.40(3) of the Insurance Contracts Act 1984 (Cth) are unaffected: a circumstance notified before the end of the policy period remains covered regardless of whether an extension of run-off cover is requested, offered, or agreed.</w:t>
      </w:r>
    </w:p>
    <w:p>
      <w:pPr>
        <w:spacing w:after="160"/>
      </w:pPr>
      <w:r>
        <w:rPr>
          <w:sz w:val="21"/>
          <w:szCs w:val="21"/>
        </w:rPr>
        <w:t xml:space="preserve">The court-attendance daily rate itself (Minor finding m4 — "worth a rate review") was not changed: it is a commercial pricing question for the underwriting team, not a drafting defect, and is recorded as not remediated in the Change Register with that reason. The figure is now schedule-configurable so a rate review can be actioned without a wording amendment.</w:t>
      </w:r>
    </w:p>
    <w:p>
      <w:r>
        <w:br w:type="page"/>
      </w:r>
    </w:p>
    <w:p>
      <w:pPr>
        <w:spacing w:after="180" w:before="360"/>
      </w:pPr>
      <w:r>
        <w:rPr>
          <w:b/>
          <w:bCs/>
          <w:sz w:val="27"/>
          <w:szCs w:val="27"/>
        </w:rPr>
        <w:t xml:space="preserve"> About This Policy</w:t>
      </w:r>
    </w:p>
    <w:p>
      <w:pPr>
        <w:spacing w:after="160"/>
      </w:pPr>
      <w:r>
        <w:rPr>
          <w:sz w:val="21"/>
          <w:szCs w:val="21"/>
        </w:rPr>
        <w:t xml:space="preserve">This policy, together with your schedule and any endorsements, forms your contract of insurance with us. Please read all documents together and let us know if anything is incorrect.</w:t>
      </w:r>
    </w:p>
    <w:p>
      <w:pPr>
        <w:spacing w:after="160"/>
      </w:pPr>
      <w:r>
        <w:rPr>
          <w:sz w:val="21"/>
          <w:szCs w:val="21"/>
        </w:rPr>
        <w:t xml:space="preserve">Words shown in bold have special meanings defined in Section 1.</w:t>
      </w:r>
    </w:p>
    <w:p>
      <w:pPr>
        <w:spacing w:after="160"/>
      </w:pPr>
      <w:r>
        <w:rPr>
          <w:sz w:val="21"/>
          <w:szCs w:val="21"/>
        </w:rPr>
        <w:t xml:space="preserve">This wording implements the notification-of-circumstances protection required by s.40(3) of the Insurance Contracts Act 1984 (Cth) — see Section 2.2. Before you enter into this contract, your insurer or its distributor must give you written notice of the effect of s.40(3) as required by s.40(1) of that Act.</w:t>
      </w:r>
    </w:p>
    <w:p>
      <w:pPr>
        <w:spacing w:after="120" w:before="240"/>
      </w:pPr>
      <w:r>
        <w:rPr>
          <w:b/>
          <w:bCs/>
          <w:sz w:val="23"/>
          <w:szCs w:val="23"/>
        </w:rPr>
        <w:t xml:space="preserve"> Version and Document History</w:t>
      </w:r>
    </w:p>
    <w:p>
      <w:pPr>
        <w:spacing w:after="160"/>
      </w:pPr>
      <w:r>
        <w:rPr>
          <w:sz w:val="21"/>
          <w:szCs w:val="21"/>
        </w:rPr>
        <w:t xml:space="preserve">This document is version-controlled. The version and date shown on the cover page and in the footer of each page govern this text. The version stated in your schedule as current at inception applies for the life of your policy period, unless your schedule or an endorsement states otherwise.</w:t>
      </w:r>
    </w:p>
    <w:p>
      <w:pPr>
        <w:spacing w:after="160"/>
      </w:pPr>
      <w:r>
        <w:rPr>
          <w:sz w:val="21"/>
          <w:szCs w:val="21"/>
        </w:rPr>
        <w:t xml:space="preserve">A document reference register recording every published version of this wording, its date, and a summary of changes is maintained by Cuttleflow Systems Pty Ltd against document reference 2026/PI/0001. See "Changes From v1.0.0" above for this version's changes.</w:t>
      </w:r>
    </w:p>
    <w:p>
      <w:pPr>
        <w:spacing w:after="160"/>
      </w:pPr>
      <w:r>
        <w:rPr>
          <w:sz w:val="21"/>
          <w:szCs w:val="21"/>
        </w:rPr>
        <w:t xml:space="preserve">This version corrects the version block date carried by v1.0.0 ("v1.0.0 · April 2026"), which did not match either Drive artefact's creation date and had no changelog to reconcile it. During the audit preceding this remediation, a second file sharing the exact filename "Meridian_PI_Policy_Wording_v1.0.0.docx" was found in the same repository location and could not be opened — it is corrupted or was saved in a form that breaks text extraction. That duplicate must be archived or deleted from the shared library so only one authoritative artefact per version remains available for download; this is a repository-hygiene action for Cuttleflow Systems' document library, not a change to wording text, and is recorded as such in the Change Register.</w:t>
      </w:r>
    </w:p>
    <w:p>
      <w:pPr>
        <w:spacing w:after="120" w:before="240"/>
      </w:pPr>
      <w:r>
        <w:rPr>
          <w:b/>
          <w:bCs/>
          <w:sz w:val="23"/>
          <w:szCs w:val="23"/>
        </w:rPr>
        <w:t xml:space="preserve"> Schedule</w:t>
      </w:r>
    </w:p>
    <w:p>
      <w:pPr>
        <w:spacing w:after="160"/>
      </w:pPr>
      <w:r>
        <w:rPr>
          <w:sz w:val="21"/>
          <w:szCs w:val="21"/>
        </w:rPr>
        <w:t xml:space="preserve">(Completed separately for each policy — contains your specific details)</w:t>
      </w:r>
    </w:p>
    <w:p>
      <w:pPr>
        <w:spacing w:after="160"/>
      </w:pPr>
      <w:r>
        <w:rPr>
          <w:sz w:val="21"/>
          <w:szCs w:val="21"/>
        </w:rPr>
        <w:t xml:space="preserve">The schedule shows:</w:t>
      </w:r>
    </w:p>
    <w:p>
      <w:pPr>
        <w:pStyle w:val="ListParagraph"/>
        <w:numPr>
          <w:ilvl w:val="0"/>
          <w:numId w:val="1"/>
        </w:numPr>
        <w:spacing w:after="80"/>
      </w:pPr>
      <w:r>
        <w:rPr>
          <w:sz w:val="21"/>
          <w:szCs w:val="21"/>
        </w:rPr>
        <w:t xml:space="preserve">Named insured and any subsidiary</w:t>
      </w:r>
    </w:p>
    <w:p>
      <w:pPr>
        <w:pStyle w:val="ListParagraph"/>
        <w:numPr>
          <w:ilvl w:val="0"/>
          <w:numId w:val="1"/>
        </w:numPr>
        <w:spacing w:after="80"/>
      </w:pPr>
      <w:r>
        <w:rPr>
          <w:sz w:val="21"/>
          <w:szCs w:val="21"/>
        </w:rPr>
        <w:t xml:space="preserve">Professional services covered</w:t>
      </w:r>
    </w:p>
    <w:p>
      <w:pPr>
        <w:pStyle w:val="ListParagraph"/>
        <w:numPr>
          <w:ilvl w:val="0"/>
          <w:numId w:val="1"/>
        </w:numPr>
        <w:spacing w:after="80"/>
      </w:pPr>
      <w:r>
        <w:rPr>
          <w:sz w:val="21"/>
          <w:szCs w:val="21"/>
        </w:rPr>
        <w:t xml:space="preserve">Policy period — start and end dates</w:t>
      </w:r>
    </w:p>
    <w:p>
      <w:pPr>
        <w:pStyle w:val="ListParagraph"/>
        <w:numPr>
          <w:ilvl w:val="0"/>
          <w:numId w:val="1"/>
        </w:numPr>
        <w:spacing w:after="80"/>
      </w:pPr>
      <w:r>
        <w:rPr>
          <w:sz w:val="21"/>
          <w:szCs w:val="21"/>
        </w:rPr>
        <w:t xml:space="preserve">Retroactive date</w:t>
      </w:r>
    </w:p>
    <w:p>
      <w:pPr>
        <w:pStyle w:val="ListParagraph"/>
        <w:numPr>
          <w:ilvl w:val="0"/>
          <w:numId w:val="1"/>
        </w:numPr>
        <w:spacing w:after="80"/>
      </w:pPr>
      <w:r>
        <w:rPr>
          <w:sz w:val="21"/>
          <w:szCs w:val="21"/>
        </w:rPr>
        <w:t xml:space="preserve">Limit of liability — the most we will pay for all claims combined</w:t>
      </w:r>
    </w:p>
    <w:p>
      <w:pPr>
        <w:pStyle w:val="ListParagraph"/>
        <w:numPr>
          <w:ilvl w:val="0"/>
          <w:numId w:val="1"/>
        </w:numPr>
        <w:spacing w:after="80"/>
      </w:pPr>
      <w:r>
        <w:rPr>
          <w:sz w:val="21"/>
          <w:szCs w:val="21"/>
        </w:rPr>
        <w:t xml:space="preserve">Sub-limits — lower limits for specific cover types</w:t>
      </w:r>
    </w:p>
    <w:p>
      <w:pPr>
        <w:pStyle w:val="ListParagraph"/>
        <w:numPr>
          <w:ilvl w:val="0"/>
          <w:numId w:val="1"/>
        </w:numPr>
        <w:spacing w:after="80"/>
      </w:pPr>
      <w:r>
        <w:rPr>
          <w:sz w:val="21"/>
          <w:szCs w:val="21"/>
        </w:rPr>
        <w:t xml:space="preserve">Excess — the amount you pay first on each claim</w:t>
      </w:r>
    </w:p>
    <w:p>
      <w:pPr>
        <w:pStyle w:val="ListParagraph"/>
        <w:numPr>
          <w:ilvl w:val="0"/>
          <w:numId w:val="1"/>
        </w:numPr>
        <w:spacing w:after="80"/>
      </w:pPr>
      <w:r>
        <w:rPr>
          <w:sz w:val="21"/>
          <w:szCs w:val="21"/>
        </w:rPr>
        <w:t xml:space="preserve">Premium — including stamp duty and GST</w:t>
      </w:r>
    </w:p>
    <w:p>
      <w:pPr>
        <w:pStyle w:val="ListParagraph"/>
        <w:numPr>
          <w:ilvl w:val="0"/>
          <w:numId w:val="1"/>
        </w:numPr>
        <w:spacing w:after="80"/>
      </w:pPr>
      <w:r>
        <w:rPr>
          <w:sz w:val="21"/>
          <w:szCs w:val="21"/>
        </w:rPr>
        <w:t xml:space="preserve">Court attendance daily rate, if different from the policy default of $500 (Section 2.4.8)</w:t>
      </w:r>
    </w:p>
    <w:p>
      <w:pPr>
        <w:pStyle w:val="ListParagraph"/>
        <w:numPr>
          <w:ilvl w:val="0"/>
          <w:numId w:val="1"/>
        </w:numPr>
        <w:spacing w:after="80"/>
      </w:pPr>
      <w:r>
        <w:rPr>
          <w:sz w:val="21"/>
          <w:szCs w:val="21"/>
        </w:rPr>
        <w:t xml:space="preserve">Newly acquired subsidiary revenue threshold, if different from the policy default of $5,000,000 (Section 2.4.9)</w:t>
      </w:r>
    </w:p>
    <w:p>
      <w:pPr>
        <w:pStyle w:val="ListParagraph"/>
        <w:numPr>
          <w:ilvl w:val="0"/>
          <w:numId w:val="1"/>
        </w:numPr>
        <w:spacing w:after="80"/>
      </w:pPr>
      <w:r>
        <w:rPr>
          <w:sz w:val="21"/>
          <w:szCs w:val="21"/>
        </w:rPr>
        <w:t xml:space="preserve">Endorsements that change the standard terms, and any endorsement schedule (for example, the premium for a run-off extension offered and agreed under Endorsement E01)</w:t>
      </w:r>
    </w:p>
    <w:p>
      <w:r>
        <w:br w:type="page"/>
      </w:r>
    </w:p>
    <w:p>
      <w:pPr>
        <w:spacing w:after="180" w:before="360"/>
      </w:pPr>
      <w:r>
        <w:rPr>
          <w:b/>
          <w:bCs/>
          <w:sz w:val="27"/>
          <w:szCs w:val="27"/>
        </w:rPr>
        <w:t xml:space="preserve">1 Definitions</w:t>
      </w:r>
    </w:p>
    <w:p>
      <w:pPr>
        <w:spacing w:after="160"/>
      </w:pPr>
      <w:r>
        <w:rPr>
          <w:sz w:val="21"/>
          <w:szCs w:val="21"/>
        </w:rPr>
        <w:t xml:space="preserve">When the following words appear in bold in this policy, they have the meanings set out below.</w:t>
      </w:r>
    </w:p>
    <w:tbl>
      <w:tblPr>
        <w:tblW w:type="dxa" w:w="9350"/>
        <w:tblBorders>
          <w:top w:val="single" w:color="E2D9C8" w:sz="2"/>
          <w:left w:val="single" w:color="E2D9C8" w:sz="2"/>
          <w:bottom w:val="single" w:color="E2D9C8" w:sz="2"/>
          <w:right w:val="single" w:color="E2D9C8" w:sz="2"/>
          <w:insideH w:val="single" w:color="E2D9C8" w:sz="2"/>
          <w:insideV w:val="single" w:color="E2D9C8" w:sz="2"/>
        </w:tblBorders>
      </w:tblPr>
      <w:tblGrid>
        <w:gridCol w:w="2600"/>
        <w:gridCol w:w="6750"/>
      </w:tblGrid>
      <w:tr>
        <w:tc>
          <w:tcPr>
            <w:tcW w:type="dxa" w:w="2600"/>
            <w:shd w:fill="E2D9C8" w:val="clear"/>
            <w:tcMar>
              <w:top w:type="dxa" w:w="100"/>
              <w:left w:type="dxa" w:w="120"/>
              <w:bottom w:type="dxa" w:w="100"/>
              <w:right w:type="dxa" w:w="120"/>
            </w:tcMar>
            <w:vAlign w:val="top"/>
          </w:tcPr>
          <w:p>
            <w:pPr>
              <w:spacing w:after="0"/>
            </w:pPr>
            <w:r>
              <w:rPr>
                <w:b/>
                <w:bCs/>
                <w:sz w:val="20"/>
                <w:szCs w:val="20"/>
              </w:rPr>
              <w:t xml:space="preserve">Business activity</w:t>
            </w:r>
          </w:p>
        </w:tc>
        <w:tc>
          <w:tcPr>
            <w:tcW w:type="dxa" w:w="6750"/>
            <w:tcMar>
              <w:top w:type="dxa" w:w="100"/>
              <w:left w:type="dxa" w:w="120"/>
              <w:bottom w:type="dxa" w:w="100"/>
              <w:right w:type="dxa" w:w="120"/>
            </w:tcMar>
            <w:vAlign w:val="top"/>
          </w:tcPr>
          <w:p>
            <w:pPr>
              <w:spacing w:after="60"/>
            </w:pPr>
            <w:r>
              <w:rPr>
                <w:sz w:val="20"/>
                <w:szCs w:val="20"/>
              </w:rPr>
              <w:t xml:space="preserve">Your professional services, performed in the ordinary course of your business.</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Claim</w:t>
            </w:r>
          </w:p>
        </w:tc>
        <w:tc>
          <w:tcPr>
            <w:tcW w:type="dxa" w:w="6750"/>
            <w:tcMar>
              <w:top w:type="dxa" w:w="100"/>
              <w:left w:type="dxa" w:w="120"/>
              <w:bottom w:type="dxa" w:w="100"/>
              <w:right w:type="dxa" w:w="120"/>
            </w:tcMar>
            <w:vAlign w:val="top"/>
          </w:tcPr>
          <w:p>
            <w:pPr>
              <w:spacing w:after="60"/>
            </w:pPr>
            <w:r>
              <w:rPr>
                <w:sz w:val="20"/>
                <w:szCs w:val="20"/>
              </w:rPr>
              <w:t xml:space="preserve">(a) any written demand for compensation made against you;</w:t>
            </w:r>
          </w:p>
          <w:p>
            <w:pPr>
              <w:spacing w:after="60"/>
            </w:pPr>
            <w:r>
              <w:rPr>
                <w:sz w:val="20"/>
                <w:szCs w:val="20"/>
              </w:rPr>
              <w:t xml:space="preserve">(b) any writ, summons, cross-claim, or other legal proceeding issued against you;</w:t>
            </w:r>
          </w:p>
          <w:p>
            <w:pPr>
              <w:spacing w:after="60"/>
            </w:pPr>
            <w:r>
              <w:rPr>
                <w:sz w:val="20"/>
                <w:szCs w:val="20"/>
              </w:rPr>
              <w:t xml:space="preserve">(c) any formal investigation or inquiry by a regulator that could lead to a finding of personal civil liability against you;</w:t>
            </w:r>
          </w:p>
          <w:p>
            <w:pPr>
              <w:spacing w:after="60"/>
            </w:pPr>
            <w:r>
              <w:rPr>
                <w:sz w:val="20"/>
                <w:szCs w:val="20"/>
              </w:rPr>
              <w:t xml:space="preserve">(d) any written assertion of a right against you under a statute that could lead to your civil liability; or</w:t>
            </w:r>
          </w:p>
          <w:p>
            <w:pPr>
              <w:spacing w:after="60"/>
            </w:pPr>
            <w:r>
              <w:rPr>
                <w:sz w:val="20"/>
                <w:szCs w:val="20"/>
              </w:rPr>
              <w:t xml:space="preserve">(e) any formal complaint or proceeding before a professional disciplinary body.</w:t>
            </w:r>
          </w:p>
          <w:p>
            <w:pPr>
              <w:spacing w:after="60"/>
            </w:pPr>
            <w:r>
              <w:rPr>
                <w:sz w:val="20"/>
                <w:szCs w:val="20"/>
              </w:rPr>
              <w:t xml:space="preserve">Two or more claims arising from the </w:t>
            </w:r>
            <w:r>
              <w:rPr>
                <w:b/>
                <w:bCs/>
                <w:sz w:val="20"/>
                <w:szCs w:val="20"/>
              </w:rPr>
              <w:t xml:space="preserve">same, similar, or related</w:t>
            </w:r>
            <w:r>
              <w:rPr>
                <w:sz w:val="20"/>
                <w:szCs w:val="20"/>
              </w:rPr>
              <w:t xml:space="preserve"> act(s), error(s), or omission(s) are treated as a single claim first made when the earliest was first made.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Company</w:t>
            </w:r>
          </w:p>
        </w:tc>
        <w:tc>
          <w:tcPr>
            <w:tcW w:type="dxa" w:w="6750"/>
            <w:tcMar>
              <w:top w:type="dxa" w:w="100"/>
              <w:left w:type="dxa" w:w="120"/>
              <w:bottom w:type="dxa" w:w="100"/>
              <w:right w:type="dxa" w:w="120"/>
            </w:tcMar>
            <w:vAlign w:val="top"/>
          </w:tcPr>
          <w:p>
            <w:pPr>
              <w:spacing w:after="60"/>
            </w:pPr>
            <w:r>
              <w:rPr>
                <w:sz w:val="20"/>
                <w:szCs w:val="20"/>
              </w:rPr>
              <w:t xml:space="preserve">The entity named as the named insured in the schedule, and any subsidiary.</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Computer system</w:t>
            </w:r>
          </w:p>
        </w:tc>
        <w:tc>
          <w:tcPr>
            <w:tcW w:type="dxa" w:w="6750"/>
            <w:tcMar>
              <w:top w:type="dxa" w:w="100"/>
              <w:left w:type="dxa" w:w="120"/>
              <w:bottom w:type="dxa" w:w="100"/>
              <w:right w:type="dxa" w:w="120"/>
            </w:tcMar>
            <w:vAlign w:val="top"/>
          </w:tcPr>
          <w:p>
            <w:pPr>
              <w:spacing w:after="60"/>
            </w:pPr>
            <w:r>
              <w:rPr>
                <w:sz w:val="20"/>
                <w:szCs w:val="20"/>
              </w:rPr>
              <w:t xml:space="preserve">Any computer, network, hardware, software, data storage, or communications system — including cloud services — owned, leased, or operated on your behalf.</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Confidential information</w:t>
            </w:r>
          </w:p>
        </w:tc>
        <w:tc>
          <w:tcPr>
            <w:tcW w:type="dxa" w:w="6750"/>
            <w:tcMar>
              <w:top w:type="dxa" w:w="100"/>
              <w:left w:type="dxa" w:w="120"/>
              <w:bottom w:type="dxa" w:w="100"/>
              <w:right w:type="dxa" w:w="120"/>
            </w:tcMar>
            <w:vAlign w:val="top"/>
          </w:tcPr>
          <w:p>
            <w:pPr>
              <w:spacing w:after="60"/>
            </w:pPr>
            <w:r>
              <w:rPr>
                <w:sz w:val="20"/>
                <w:szCs w:val="20"/>
              </w:rPr>
              <w:t xml:space="preserve">Information that is not publicly available and that a reasonable person would understand to be confidential, including information protected by law.</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Defence costs</w:t>
            </w:r>
          </w:p>
        </w:tc>
        <w:tc>
          <w:tcPr>
            <w:tcW w:type="dxa" w:w="6750"/>
            <w:tcMar>
              <w:top w:type="dxa" w:w="100"/>
              <w:left w:type="dxa" w:w="120"/>
              <w:bottom w:type="dxa" w:w="100"/>
              <w:right w:type="dxa" w:w="120"/>
            </w:tcMar>
            <w:vAlign w:val="top"/>
          </w:tcPr>
          <w:p>
            <w:pPr>
              <w:spacing w:after="60"/>
            </w:pPr>
            <w:r>
              <w:rPr>
                <w:sz w:val="20"/>
                <w:szCs w:val="20"/>
              </w:rPr>
              <w:t xml:space="preserve">The reasonable legal costs and expenses incurred with our prior written consent in investigating, defending, or settling a claim. We will not unreasonably withhold or delay consent.</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Employee</w:t>
            </w:r>
          </w:p>
        </w:tc>
        <w:tc>
          <w:tcPr>
            <w:tcW w:type="dxa" w:w="6750"/>
            <w:tcMar>
              <w:top w:type="dxa" w:w="100"/>
              <w:left w:type="dxa" w:w="120"/>
              <w:bottom w:type="dxa" w:w="100"/>
              <w:right w:type="dxa" w:w="120"/>
            </w:tcMar>
            <w:vAlign w:val="top"/>
          </w:tcPr>
          <w:p>
            <w:pPr>
              <w:spacing w:after="60"/>
            </w:pPr>
            <w:r>
              <w:rPr>
                <w:sz w:val="20"/>
                <w:szCs w:val="20"/>
              </w:rPr>
              <w:t xml:space="preserve">Any natural person who works for you under a contract of employment, including permanent, fixed-term, and casual employees. Does not include independent contractors.</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Endorsement</w:t>
            </w:r>
          </w:p>
        </w:tc>
        <w:tc>
          <w:tcPr>
            <w:tcW w:type="dxa" w:w="6750"/>
            <w:tcMar>
              <w:top w:type="dxa" w:w="100"/>
              <w:left w:type="dxa" w:w="120"/>
              <w:bottom w:type="dxa" w:w="100"/>
              <w:right w:type="dxa" w:w="120"/>
            </w:tcMar>
            <w:vAlign w:val="top"/>
          </w:tcPr>
          <w:p>
            <w:pPr>
              <w:spacing w:after="60"/>
            </w:pPr>
            <w:r>
              <w:rPr>
                <w:sz w:val="20"/>
                <w:szCs w:val="20"/>
              </w:rPr>
              <w:t xml:space="preserve">A document attached to this policy that changes its terms.</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Excess</w:t>
            </w:r>
          </w:p>
        </w:tc>
        <w:tc>
          <w:tcPr>
            <w:tcW w:type="dxa" w:w="6750"/>
            <w:tcMar>
              <w:top w:type="dxa" w:w="100"/>
              <w:left w:type="dxa" w:w="120"/>
              <w:bottom w:type="dxa" w:w="100"/>
              <w:right w:type="dxa" w:w="120"/>
            </w:tcMar>
            <w:vAlign w:val="top"/>
          </w:tcPr>
          <w:p>
            <w:pPr>
              <w:spacing w:after="60"/>
            </w:pPr>
            <w:r>
              <w:rPr>
                <w:sz w:val="20"/>
                <w:szCs w:val="20"/>
              </w:rPr>
              <w:t xml:space="preserve">The amount shown in the schedule that you must pay as the first part of each claim, applied to compensation and defence costs combined unless the schedule states otherwise.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Final adjudication</w:t>
            </w:r>
          </w:p>
        </w:tc>
        <w:tc>
          <w:tcPr>
            <w:tcW w:type="dxa" w:w="6750"/>
            <w:tcMar>
              <w:top w:type="dxa" w:w="100"/>
              <w:left w:type="dxa" w:w="120"/>
              <w:bottom w:type="dxa" w:w="100"/>
              <w:right w:type="dxa" w:w="120"/>
            </w:tcMar>
            <w:vAlign w:val="top"/>
          </w:tcPr>
          <w:p>
            <w:pPr>
              <w:spacing w:after="60"/>
            </w:pPr>
            <w:r>
              <w:rPr>
                <w:sz w:val="20"/>
                <w:szCs w:val="20"/>
              </w:rPr>
              <w:t xml:space="preserve">A judgment, verdict, or ruling by a court, tribunal, or arbitrator of competent jurisdiction, after the exhaustion of all appeals or the expiry of the time to appeal without an appeal being filed, that finally determines the relevant conduct. A consent order, or a settlement, compromise, or admission of fact, that does not include a judicial or arbitral determination of the relevant conduct, is not a final adjudication for the purposes of this policy.</w:t>
            </w:r>
          </w:p>
          <w:p>
            <w:pPr>
              <w:spacing w:after="60"/>
            </w:pPr>
            <w:r>
              <w:rPr>
                <w:i/>
                <w:iCs/>
                <w:color w:val="1C1915"/>
                <w:sz w:val="20"/>
                <w:szCs w:val="20"/>
              </w:rPr>
              <w:t xml:space="preserve"/>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Geographical limits</w:t>
            </w:r>
          </w:p>
        </w:tc>
        <w:tc>
          <w:tcPr>
            <w:tcW w:type="dxa" w:w="6750"/>
            <w:tcMar>
              <w:top w:type="dxa" w:w="100"/>
              <w:left w:type="dxa" w:w="120"/>
              <w:bottom w:type="dxa" w:w="100"/>
              <w:right w:type="dxa" w:w="120"/>
            </w:tcMar>
            <w:vAlign w:val="top"/>
          </w:tcPr>
          <w:p>
            <w:pPr>
              <w:spacing w:after="60"/>
            </w:pPr>
            <w:r>
              <w:rPr>
                <w:sz w:val="20"/>
                <w:szCs w:val="20"/>
              </w:rPr>
              <w:t xml:space="preserve">The territory shown in the schedule.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Insured person</w:t>
            </w:r>
          </w:p>
        </w:tc>
        <w:tc>
          <w:tcPr>
            <w:tcW w:type="dxa" w:w="6750"/>
            <w:tcMar>
              <w:top w:type="dxa" w:w="100"/>
              <w:left w:type="dxa" w:w="120"/>
              <w:bottom w:type="dxa" w:w="100"/>
              <w:right w:type="dxa" w:w="120"/>
            </w:tcMar>
            <w:vAlign w:val="top"/>
          </w:tcPr>
          <w:p>
            <w:pPr>
              <w:spacing w:after="60"/>
            </w:pPr>
            <w:r>
              <w:rPr>
                <w:sz w:val="20"/>
                <w:szCs w:val="20"/>
              </w:rPr>
              <w:t xml:space="preserve">(a) any past, present, or future partner, principal, director, officer, or member of the company;</w:t>
            </w:r>
          </w:p>
          <w:p>
            <w:pPr>
              <w:spacing w:after="60"/>
            </w:pPr>
            <w:r>
              <w:rPr>
                <w:sz w:val="20"/>
                <w:szCs w:val="20"/>
              </w:rPr>
              <w:t xml:space="preserve">(b) any employee of the company; and</w:t>
            </w:r>
          </w:p>
          <w:p>
            <w:pPr>
              <w:spacing w:after="60"/>
            </w:pPr>
            <w:r>
              <w:rPr>
                <w:sz w:val="20"/>
                <w:szCs w:val="20"/>
              </w:rPr>
              <w:t xml:space="preserve">(c) any person who was a partner, principal, director, officer, member, or employee of a predecessor practice that the company has </w:t>
            </w:r>
            <w:r>
              <w:rPr>
                <w:b/>
                <w:bCs/>
                <w:sz w:val="20"/>
                <w:szCs w:val="20"/>
              </w:rPr>
              <w:t xml:space="preserve">acquired, merged with, or succeeded</w:t>
            </w:r>
            <w:r>
              <w:rPr>
                <w:sz w:val="20"/>
                <w:szCs w:val="20"/>
              </w:rPr>
              <w:t xml:space="preserv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Joint venture</w:t>
            </w:r>
          </w:p>
        </w:tc>
        <w:tc>
          <w:tcPr>
            <w:tcW w:type="dxa" w:w="6750"/>
            <w:tcMar>
              <w:top w:type="dxa" w:w="100"/>
              <w:left w:type="dxa" w:w="120"/>
              <w:bottom w:type="dxa" w:w="100"/>
              <w:right w:type="dxa" w:w="120"/>
            </w:tcMar>
            <w:vAlign w:val="top"/>
          </w:tcPr>
          <w:p>
            <w:pPr>
              <w:spacing w:after="60"/>
            </w:pPr>
            <w:r>
              <w:rPr>
                <w:sz w:val="20"/>
                <w:szCs w:val="20"/>
              </w:rPr>
              <w:t xml:space="preserve">Any incorporated or unincorporated arrangement between you and one or more other parties to carry out a specific business activity, in which you hold: (a) if incorporated, more than 50% of the voting rights; or (b) if unincorporated, an interest (however described) of 50% or more in its profits, losses, or capital.</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Limit of liability</w:t>
            </w:r>
          </w:p>
        </w:tc>
        <w:tc>
          <w:tcPr>
            <w:tcW w:type="dxa" w:w="6750"/>
            <w:tcMar>
              <w:top w:type="dxa" w:w="100"/>
              <w:left w:type="dxa" w:w="120"/>
              <w:bottom w:type="dxa" w:w="100"/>
              <w:right w:type="dxa" w:w="120"/>
            </w:tcMar>
            <w:vAlign w:val="top"/>
          </w:tcPr>
          <w:p>
            <w:pPr>
              <w:spacing w:after="60"/>
            </w:pPr>
            <w:r>
              <w:rPr>
                <w:sz w:val="20"/>
                <w:szCs w:val="20"/>
              </w:rPr>
              <w:t xml:space="preserve">The maximum amount shown in the schedule we will pay for all claims and defence costs combined during the policy period, unless a specific sub-limit applies.</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Loss</w:t>
            </w:r>
          </w:p>
        </w:tc>
        <w:tc>
          <w:tcPr>
            <w:tcW w:type="dxa" w:w="6750"/>
            <w:tcMar>
              <w:top w:type="dxa" w:w="100"/>
              <w:left w:type="dxa" w:w="120"/>
              <w:bottom w:type="dxa" w:w="100"/>
              <w:right w:type="dxa" w:w="120"/>
            </w:tcMar>
            <w:vAlign w:val="top"/>
          </w:tcPr>
          <w:p>
            <w:pPr>
              <w:spacing w:after="60"/>
            </w:pPr>
            <w:r>
              <w:rPr>
                <w:sz w:val="20"/>
                <w:szCs w:val="20"/>
              </w:rPr>
              <w:t xml:space="preserve">The amount you become legally liable to pay as compensation to a third party, including the claimant's legal costs awarded against you. Does not include fines, penalties, punitive or exemplary damages, taxes, or amounts not insurable at law.</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Named insured</w:t>
            </w:r>
          </w:p>
        </w:tc>
        <w:tc>
          <w:tcPr>
            <w:tcW w:type="dxa" w:w="6750"/>
            <w:tcMar>
              <w:top w:type="dxa" w:w="100"/>
              <w:left w:type="dxa" w:w="120"/>
              <w:bottom w:type="dxa" w:w="100"/>
              <w:right w:type="dxa" w:w="120"/>
            </w:tcMar>
            <w:vAlign w:val="top"/>
          </w:tcPr>
          <w:p>
            <w:pPr>
              <w:spacing w:after="60"/>
            </w:pPr>
            <w:r>
              <w:rPr>
                <w:sz w:val="20"/>
                <w:szCs w:val="20"/>
              </w:rPr>
              <w:t xml:space="preserve">The entity shown as the named insured in the schedule.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Policy period</w:t>
            </w:r>
          </w:p>
        </w:tc>
        <w:tc>
          <w:tcPr>
            <w:tcW w:type="dxa" w:w="6750"/>
            <w:tcMar>
              <w:top w:type="dxa" w:w="100"/>
              <w:left w:type="dxa" w:w="120"/>
              <w:bottom w:type="dxa" w:w="100"/>
              <w:right w:type="dxa" w:w="120"/>
            </w:tcMar>
            <w:vAlign w:val="top"/>
          </w:tcPr>
          <w:p>
            <w:pPr>
              <w:spacing w:after="60"/>
            </w:pPr>
            <w:r>
              <w:rPr>
                <w:sz w:val="20"/>
                <w:szCs w:val="20"/>
              </w:rPr>
              <w:t xml:space="preserve">The period shown in the schedule, from the start date to the end date, both inclusive.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Pollution</w:t>
            </w:r>
          </w:p>
        </w:tc>
        <w:tc>
          <w:tcPr>
            <w:tcW w:type="dxa" w:w="6750"/>
            <w:tcMar>
              <w:top w:type="dxa" w:w="100"/>
              <w:left w:type="dxa" w:w="120"/>
              <w:bottom w:type="dxa" w:w="100"/>
              <w:right w:type="dxa" w:w="120"/>
            </w:tcMar>
            <w:vAlign w:val="top"/>
          </w:tcPr>
          <w:p>
            <w:pPr>
              <w:spacing w:after="60"/>
            </w:pPr>
            <w:r>
              <w:rPr>
                <w:sz w:val="20"/>
                <w:szCs w:val="20"/>
              </w:rPr>
              <w:t xml:space="preserve">Any release of, or exposure to, a substance or agent that contaminates or harms the environment, in any form (solid, liquid, gas, biological, radiological, thermal, or energy-based, including noise, vibration, and electromagnetic fields), whether actual, alleged, or threatened.</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Predecessor practice</w:t>
            </w:r>
          </w:p>
        </w:tc>
        <w:tc>
          <w:tcPr>
            <w:tcW w:type="dxa" w:w="6750"/>
            <w:tcMar>
              <w:top w:type="dxa" w:w="100"/>
              <w:left w:type="dxa" w:w="120"/>
              <w:bottom w:type="dxa" w:w="100"/>
              <w:right w:type="dxa" w:w="120"/>
            </w:tcMar>
            <w:vAlign w:val="top"/>
          </w:tcPr>
          <w:p>
            <w:pPr>
              <w:spacing w:after="60"/>
            </w:pPr>
            <w:r>
              <w:rPr>
                <w:sz w:val="20"/>
                <w:szCs w:val="20"/>
              </w:rPr>
              <w:t xml:space="preserve">Any business you have acquired, merged with, or succeeded, whose professional services are the same as or similar to your business activity.</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Professional services</w:t>
            </w:r>
          </w:p>
        </w:tc>
        <w:tc>
          <w:tcPr>
            <w:tcW w:type="dxa" w:w="6750"/>
            <w:tcMar>
              <w:top w:type="dxa" w:w="100"/>
              <w:left w:type="dxa" w:w="120"/>
              <w:bottom w:type="dxa" w:w="100"/>
              <w:right w:type="dxa" w:w="120"/>
            </w:tcMar>
            <w:vAlign w:val="top"/>
          </w:tcPr>
          <w:p>
            <w:pPr>
              <w:spacing w:after="60"/>
            </w:pPr>
            <w:r>
              <w:rPr>
                <w:sz w:val="20"/>
                <w:szCs w:val="20"/>
              </w:rPr>
              <w:t xml:space="preserve">The services described in the schedule.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Retroactive date</w:t>
            </w:r>
          </w:p>
        </w:tc>
        <w:tc>
          <w:tcPr>
            <w:tcW w:type="dxa" w:w="6750"/>
            <w:tcMar>
              <w:top w:type="dxa" w:w="100"/>
              <w:left w:type="dxa" w:w="120"/>
              <w:bottom w:type="dxa" w:w="100"/>
              <w:right w:type="dxa" w:w="120"/>
            </w:tcMar>
            <w:vAlign w:val="top"/>
          </w:tcPr>
          <w:p>
            <w:pPr>
              <w:spacing w:after="60"/>
            </w:pPr>
            <w:r>
              <w:rPr>
                <w:sz w:val="20"/>
                <w:szCs w:val="20"/>
              </w:rPr>
              <w:t xml:space="preserve">The date shown in the schedule. We only cover claims arising from acts, errors, or omissions on or after this date.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Schedule</w:t>
            </w:r>
          </w:p>
        </w:tc>
        <w:tc>
          <w:tcPr>
            <w:tcW w:type="dxa" w:w="6750"/>
            <w:tcMar>
              <w:top w:type="dxa" w:w="100"/>
              <w:left w:type="dxa" w:w="120"/>
              <w:bottom w:type="dxa" w:w="100"/>
              <w:right w:type="dxa" w:w="120"/>
            </w:tcMar>
            <w:vAlign w:val="top"/>
          </w:tcPr>
          <w:p>
            <w:pPr>
              <w:spacing w:after="60"/>
            </w:pPr>
            <w:r>
              <w:rPr>
                <w:sz w:val="20"/>
                <w:szCs w:val="20"/>
              </w:rPr>
              <w:t xml:space="preserve">The document titled "Schedule" issued with this policy, as amended by any endorsement.</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Subsidiary</w:t>
            </w:r>
          </w:p>
        </w:tc>
        <w:tc>
          <w:tcPr>
            <w:tcW w:type="dxa" w:w="6750"/>
            <w:tcMar>
              <w:top w:type="dxa" w:w="100"/>
              <w:left w:type="dxa" w:w="120"/>
              <w:bottom w:type="dxa" w:w="100"/>
              <w:right w:type="dxa" w:w="120"/>
            </w:tcMar>
            <w:vAlign w:val="top"/>
          </w:tcPr>
          <w:p>
            <w:pPr>
              <w:spacing w:after="60"/>
            </w:pPr>
            <w:r>
              <w:rPr>
                <w:sz w:val="20"/>
                <w:szCs w:val="20"/>
              </w:rPr>
              <w:t xml:space="preserve">Any entity in which the named insured holds more than 50% of the voting rights, or over which the named insured has effective management control, at the time the relevant act, error, or omission occurs.</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We / us / our</w:t>
            </w:r>
          </w:p>
        </w:tc>
        <w:tc>
          <w:tcPr>
            <w:tcW w:type="dxa" w:w="6750"/>
            <w:tcMar>
              <w:top w:type="dxa" w:w="100"/>
              <w:left w:type="dxa" w:w="120"/>
              <w:bottom w:type="dxa" w:w="100"/>
              <w:right w:type="dxa" w:w="120"/>
            </w:tcMar>
            <w:vAlign w:val="top"/>
          </w:tcPr>
          <w:p>
            <w:pPr>
              <w:spacing w:after="60"/>
            </w:pPr>
            <w:r>
              <w:rPr>
                <w:sz w:val="20"/>
                <w:szCs w:val="20"/>
              </w:rPr>
              <w:t xml:space="preserve">The insurer named in the schedule.</w:t>
            </w:r>
          </w:p>
        </w:tc>
      </w:tr>
      <w:tr>
        <w:tc>
          <w:tcPr>
            <w:tcW w:type="dxa" w:w="2600"/>
            <w:shd w:fill="E2D9C8" w:val="clear"/>
            <w:tcMar>
              <w:top w:type="dxa" w:w="100"/>
              <w:left w:type="dxa" w:w="120"/>
              <w:bottom w:type="dxa" w:w="100"/>
              <w:right w:type="dxa" w:w="120"/>
            </w:tcMar>
            <w:vAlign w:val="top"/>
          </w:tcPr>
          <w:p>
            <w:pPr>
              <w:spacing w:after="0"/>
            </w:pPr>
            <w:r>
              <w:rPr>
                <w:b/>
                <w:bCs/>
                <w:sz w:val="20"/>
                <w:szCs w:val="20"/>
              </w:rPr>
              <w:t xml:space="preserve">You / your</w:t>
            </w:r>
          </w:p>
        </w:tc>
        <w:tc>
          <w:tcPr>
            <w:tcW w:type="dxa" w:w="6750"/>
            <w:tcMar>
              <w:top w:type="dxa" w:w="100"/>
              <w:left w:type="dxa" w:w="120"/>
              <w:bottom w:type="dxa" w:w="100"/>
              <w:right w:type="dxa" w:w="120"/>
            </w:tcMar>
            <w:vAlign w:val="top"/>
          </w:tcPr>
          <w:p>
            <w:pPr>
              <w:spacing w:after="60"/>
            </w:pPr>
            <w:r>
              <w:rPr>
                <w:sz w:val="20"/>
                <w:szCs w:val="20"/>
              </w:rPr>
              <w:t xml:space="preserve">(a) the company; and (b) any insured person.</w:t>
            </w:r>
          </w:p>
        </w:tc>
      </w:tr>
    </w:tbl>
    <w:p>
      <w:r>
        <w:br w:type="page"/>
      </w:r>
    </w:p>
    <w:p>
      <w:pPr>
        <w:spacing w:after="180" w:before="360"/>
      </w:pPr>
      <w:r>
        <w:rPr>
          <w:b/>
          <w:bCs/>
          <w:sz w:val="27"/>
          <w:szCs w:val="27"/>
        </w:rPr>
        <w:t xml:space="preserve">2 What Is Covered</w:t>
      </w:r>
    </w:p>
    <w:p>
      <w:pPr>
        <w:spacing w:after="120" w:before="240"/>
      </w:pPr>
      <w:r>
        <w:rPr>
          <w:b/>
          <w:bCs/>
          <w:sz w:val="23"/>
          <w:szCs w:val="23"/>
        </w:rPr>
        <w:t xml:space="preserve">2.1 Claims Against You</w:t>
      </w:r>
    </w:p>
    <w:p>
      <w:pPr>
        <w:spacing w:after="160"/>
      </w:pPr>
      <w:r>
        <w:rPr>
          <w:sz w:val="21"/>
          <w:szCs w:val="21"/>
        </w:rPr>
        <w:t xml:space="preserve">If a claim is first made against you during the policy period, and the claim arises from your business activity performed on or after the retroactive date within the geographical limits, we will pay:</w:t>
      </w:r>
    </w:p>
    <w:p>
      <w:pPr>
        <w:spacing w:after="160"/>
      </w:pPr>
      <w:r>
        <w:rPr>
          <w:sz w:val="21"/>
          <w:szCs w:val="21"/>
        </w:rPr>
        <w:t xml:space="preserve">(a) any loss you become legally liable to pay; and</w:t>
      </w:r>
    </w:p>
    <w:p>
      <w:pPr>
        <w:spacing w:after="160"/>
      </w:pPr>
      <w:r>
        <w:rPr>
          <w:sz w:val="21"/>
          <w:szCs w:val="21"/>
        </w:rPr>
        <w:t xml:space="preserve">(b) your defence costs,</w:t>
      </w:r>
    </w:p>
    <w:p>
      <w:pPr>
        <w:spacing w:after="160"/>
      </w:pPr>
      <w:r>
        <w:rPr>
          <w:sz w:val="21"/>
          <w:szCs w:val="21"/>
        </w:rPr>
        <w:t xml:space="preserve">for any actual or alleged:</w:t>
      </w:r>
    </w:p>
    <w:tbl>
      <w:tblPr>
        <w:tblW w:type="dxa" w:w="9350"/>
        <w:tblBorders>
          <w:top w:val="single" w:color="E2D9C8" w:sz="2"/>
          <w:left w:val="single" w:color="E2D9C8" w:sz="2"/>
          <w:bottom w:val="single" w:color="E2D9C8" w:sz="2"/>
          <w:right w:val="single" w:color="E2D9C8" w:sz="2"/>
          <w:insideH w:val="single" w:color="E2D9C8" w:sz="2"/>
          <w:insideV w:val="single" w:color="E2D9C8" w:sz="2"/>
        </w:tblBorders>
      </w:tblPr>
      <w:tblGrid>
        <w:gridCol w:w="1400"/>
        <w:gridCol w:w="7950"/>
      </w:tblGrid>
      <w:tr>
        <w:tc>
          <w:tcPr>
            <w:tcW w:type="dxa" w:w="1400"/>
            <w:shd w:fill="E2D9C8" w:val="clear"/>
            <w:tcMar>
              <w:top w:type="dxa" w:w="100"/>
              <w:left w:type="dxa" w:w="120"/>
              <w:bottom w:type="dxa" w:w="100"/>
              <w:right w:type="dxa" w:w="120"/>
            </w:tcMar>
            <w:vAlign w:val="top"/>
          </w:tcPr>
          <w:p>
            <w:pPr>
              <w:spacing w:after="0"/>
            </w:pPr>
            <w:r>
              <w:rPr>
                <w:b/>
                <w:bCs/>
                <w:sz w:val="20"/>
                <w:szCs w:val="20"/>
              </w:rPr>
              <w:t xml:space="preserve">Type of liability</w:t>
            </w:r>
          </w:p>
        </w:tc>
        <w:tc>
          <w:tcPr>
            <w:tcW w:type="dxa" w:w="7950"/>
            <w:shd w:fill="E2D9C8" w:val="clear"/>
            <w:tcMar>
              <w:top w:type="dxa" w:w="100"/>
              <w:left w:type="dxa" w:w="120"/>
              <w:bottom w:type="dxa" w:w="100"/>
              <w:right w:type="dxa" w:w="120"/>
            </w:tcMar>
            <w:vAlign w:val="top"/>
          </w:tcPr>
          <w:p>
            <w:pPr>
              <w:spacing w:after="0"/>
            </w:pPr>
          </w:p>
        </w:tc>
      </w:tr>
      <w:tr>
        <w:tc>
          <w:tcPr>
            <w:tcW w:type="dxa" w:w="1400"/>
            <w:tcMar>
              <w:top w:type="dxa" w:w="100"/>
              <w:left w:type="dxa" w:w="120"/>
              <w:bottom w:type="dxa" w:w="100"/>
              <w:right w:type="dxa" w:w="120"/>
            </w:tcMar>
            <w:vAlign w:val="top"/>
          </w:tcPr>
          <w:p>
            <w:pPr>
              <w:spacing w:after="0"/>
            </w:pPr>
            <w:r>
              <w:rPr>
                <w:sz w:val="20"/>
                <w:szCs w:val="20"/>
              </w:rPr>
              <w:t xml:space="preserve">(i)</w:t>
            </w:r>
          </w:p>
        </w:tc>
        <w:tc>
          <w:tcPr>
            <w:tcW w:type="dxa" w:w="7950"/>
            <w:tcMar>
              <w:top w:type="dxa" w:w="100"/>
              <w:left w:type="dxa" w:w="120"/>
              <w:bottom w:type="dxa" w:w="100"/>
              <w:right w:type="dxa" w:w="120"/>
            </w:tcMar>
            <w:vAlign w:val="top"/>
          </w:tcPr>
          <w:p>
            <w:pPr>
              <w:spacing w:after="60"/>
            </w:pPr>
            <w:r>
              <w:rPr>
                <w:sz w:val="20"/>
                <w:szCs w:val="20"/>
              </w:rPr>
              <w:t xml:space="preserve">negligence, breach of duty, or failure to exercise reasonable care and skill</w:t>
            </w:r>
          </w:p>
        </w:tc>
      </w:tr>
      <w:tr>
        <w:tc>
          <w:tcPr>
            <w:tcW w:type="dxa" w:w="1400"/>
            <w:tcMar>
              <w:top w:type="dxa" w:w="100"/>
              <w:left w:type="dxa" w:w="120"/>
              <w:bottom w:type="dxa" w:w="100"/>
              <w:right w:type="dxa" w:w="120"/>
            </w:tcMar>
            <w:vAlign w:val="top"/>
          </w:tcPr>
          <w:p>
            <w:pPr>
              <w:spacing w:after="0"/>
            </w:pPr>
            <w:r>
              <w:rPr>
                <w:sz w:val="20"/>
                <w:szCs w:val="20"/>
              </w:rPr>
              <w:t xml:space="preserve">(ii)</w:t>
            </w:r>
          </w:p>
        </w:tc>
        <w:tc>
          <w:tcPr>
            <w:tcW w:type="dxa" w:w="7950"/>
            <w:tcMar>
              <w:top w:type="dxa" w:w="100"/>
              <w:left w:type="dxa" w:w="120"/>
              <w:bottom w:type="dxa" w:w="100"/>
              <w:right w:type="dxa" w:w="120"/>
            </w:tcMar>
            <w:vAlign w:val="top"/>
          </w:tcPr>
          <w:p>
            <w:pPr>
              <w:spacing w:after="60"/>
            </w:pPr>
            <w:r>
              <w:rPr>
                <w:sz w:val="20"/>
                <w:szCs w:val="20"/>
              </w:rPr>
              <w:t xml:space="preserve">negligent misstatement, misrepresentation, or misleading advice</w:t>
            </w:r>
          </w:p>
        </w:tc>
      </w:tr>
      <w:tr>
        <w:tc>
          <w:tcPr>
            <w:tcW w:type="dxa" w:w="1400"/>
            <w:tcMar>
              <w:top w:type="dxa" w:w="100"/>
              <w:left w:type="dxa" w:w="120"/>
              <w:bottom w:type="dxa" w:w="100"/>
              <w:right w:type="dxa" w:w="120"/>
            </w:tcMar>
            <w:vAlign w:val="top"/>
          </w:tcPr>
          <w:p>
            <w:pPr>
              <w:spacing w:after="0"/>
            </w:pPr>
            <w:r>
              <w:rPr>
                <w:sz w:val="20"/>
                <w:szCs w:val="20"/>
              </w:rPr>
              <w:t xml:space="preserve">(iii)</w:t>
            </w:r>
          </w:p>
        </w:tc>
        <w:tc>
          <w:tcPr>
            <w:tcW w:type="dxa" w:w="7950"/>
            <w:tcMar>
              <w:top w:type="dxa" w:w="100"/>
              <w:left w:type="dxa" w:w="120"/>
              <w:bottom w:type="dxa" w:w="100"/>
              <w:right w:type="dxa" w:w="120"/>
            </w:tcMar>
            <w:vAlign w:val="top"/>
          </w:tcPr>
          <w:p>
            <w:pPr>
              <w:spacing w:after="60"/>
            </w:pPr>
            <w:r>
              <w:rPr>
                <w:sz w:val="20"/>
                <w:szCs w:val="20"/>
              </w:rPr>
              <w:t xml:space="preserve">breach of confidence or misuse of </w:t>
            </w:r>
            <w:r>
              <w:rPr>
                <w:b/>
                <w:bCs/>
                <w:sz w:val="20"/>
                <w:szCs w:val="20"/>
              </w:rPr>
              <w:t xml:space="preserve">confidential information</w:t>
            </w:r>
          </w:p>
        </w:tc>
      </w:tr>
      <w:tr>
        <w:tc>
          <w:tcPr>
            <w:tcW w:type="dxa" w:w="1400"/>
            <w:tcMar>
              <w:top w:type="dxa" w:w="100"/>
              <w:left w:type="dxa" w:w="120"/>
              <w:bottom w:type="dxa" w:w="100"/>
              <w:right w:type="dxa" w:w="120"/>
            </w:tcMar>
            <w:vAlign w:val="top"/>
          </w:tcPr>
          <w:p>
            <w:pPr>
              <w:spacing w:after="0"/>
            </w:pPr>
            <w:r>
              <w:rPr>
                <w:sz w:val="20"/>
                <w:szCs w:val="20"/>
              </w:rPr>
              <w:t xml:space="preserve">(iv)</w:t>
            </w:r>
          </w:p>
        </w:tc>
        <w:tc>
          <w:tcPr>
            <w:tcW w:type="dxa" w:w="7950"/>
            <w:tcMar>
              <w:top w:type="dxa" w:w="100"/>
              <w:left w:type="dxa" w:w="120"/>
              <w:bottom w:type="dxa" w:w="100"/>
              <w:right w:type="dxa" w:w="120"/>
            </w:tcMar>
            <w:vAlign w:val="top"/>
          </w:tcPr>
          <w:p>
            <w:pPr>
              <w:spacing w:after="60"/>
            </w:pPr>
            <w:r>
              <w:rPr>
                <w:sz w:val="20"/>
                <w:szCs w:val="20"/>
              </w:rPr>
              <w:t xml:space="preserve">infringement of copyright, trademark, or moral rights, or passing off</w:t>
            </w:r>
          </w:p>
        </w:tc>
      </w:tr>
      <w:tr>
        <w:tc>
          <w:tcPr>
            <w:tcW w:type="dxa" w:w="1400"/>
            <w:tcMar>
              <w:top w:type="dxa" w:w="100"/>
              <w:left w:type="dxa" w:w="120"/>
              <w:bottom w:type="dxa" w:w="100"/>
              <w:right w:type="dxa" w:w="120"/>
            </w:tcMar>
            <w:vAlign w:val="top"/>
          </w:tcPr>
          <w:p>
            <w:pPr>
              <w:spacing w:after="0"/>
            </w:pPr>
            <w:r>
              <w:rPr>
                <w:sz w:val="20"/>
                <w:szCs w:val="20"/>
              </w:rPr>
              <w:t xml:space="preserve">(v)</w:t>
            </w:r>
          </w:p>
        </w:tc>
        <w:tc>
          <w:tcPr>
            <w:tcW w:type="dxa" w:w="7950"/>
            <w:tcMar>
              <w:top w:type="dxa" w:w="100"/>
              <w:left w:type="dxa" w:w="120"/>
              <w:bottom w:type="dxa" w:w="100"/>
              <w:right w:type="dxa" w:w="120"/>
            </w:tcMar>
            <w:vAlign w:val="top"/>
          </w:tcPr>
          <w:p>
            <w:pPr>
              <w:spacing w:after="60"/>
            </w:pPr>
            <w:r>
              <w:rPr>
                <w:sz w:val="20"/>
                <w:szCs w:val="20"/>
              </w:rPr>
              <w:t xml:space="preserve">unintentional defamation</w:t>
            </w:r>
          </w:p>
        </w:tc>
      </w:tr>
      <w:tr>
        <w:tc>
          <w:tcPr>
            <w:tcW w:type="dxa" w:w="1400"/>
            <w:tcMar>
              <w:top w:type="dxa" w:w="100"/>
              <w:left w:type="dxa" w:w="120"/>
              <w:bottom w:type="dxa" w:w="100"/>
              <w:right w:type="dxa" w:w="120"/>
            </w:tcMar>
            <w:vAlign w:val="top"/>
          </w:tcPr>
          <w:p>
            <w:pPr>
              <w:spacing w:after="0"/>
            </w:pPr>
            <w:r>
              <w:rPr>
                <w:sz w:val="20"/>
                <w:szCs w:val="20"/>
              </w:rPr>
              <w:t xml:space="preserve">(vi)</w:t>
            </w:r>
          </w:p>
        </w:tc>
        <w:tc>
          <w:tcPr>
            <w:tcW w:type="dxa" w:w="7950"/>
            <w:tcMar>
              <w:top w:type="dxa" w:w="100"/>
              <w:left w:type="dxa" w:w="120"/>
              <w:bottom w:type="dxa" w:w="100"/>
              <w:right w:type="dxa" w:w="120"/>
            </w:tcMar>
            <w:vAlign w:val="top"/>
          </w:tcPr>
          <w:p>
            <w:pPr>
              <w:spacing w:after="60"/>
            </w:pPr>
            <w:r>
              <w:rPr>
                <w:sz w:val="20"/>
                <w:szCs w:val="20"/>
              </w:rPr>
              <w:t xml:space="preserve">breach of the Competition and Consumer Act 2010 (Cth) or any state or territory fair trading legislation, in connection with your professional services</w:t>
            </w:r>
          </w:p>
        </w:tc>
      </w:tr>
      <w:tr>
        <w:tc>
          <w:tcPr>
            <w:tcW w:type="dxa" w:w="1400"/>
            <w:tcMar>
              <w:top w:type="dxa" w:w="100"/>
              <w:left w:type="dxa" w:w="120"/>
              <w:bottom w:type="dxa" w:w="100"/>
              <w:right w:type="dxa" w:w="120"/>
            </w:tcMar>
            <w:vAlign w:val="top"/>
          </w:tcPr>
          <w:p>
            <w:pPr>
              <w:spacing w:after="0"/>
            </w:pPr>
            <w:r>
              <w:rPr>
                <w:sz w:val="20"/>
                <w:szCs w:val="20"/>
              </w:rPr>
              <w:t xml:space="preserve">(vii)</w:t>
            </w:r>
          </w:p>
        </w:tc>
        <w:tc>
          <w:tcPr>
            <w:tcW w:type="dxa" w:w="7950"/>
            <w:tcMar>
              <w:top w:type="dxa" w:w="100"/>
              <w:left w:type="dxa" w:w="120"/>
              <w:bottom w:type="dxa" w:w="100"/>
              <w:right w:type="dxa" w:w="120"/>
            </w:tcMar>
            <w:vAlign w:val="top"/>
          </w:tcPr>
          <w:p>
            <w:pPr>
              <w:spacing w:after="60"/>
            </w:pPr>
            <w:r>
              <w:rPr>
                <w:sz w:val="20"/>
                <w:szCs w:val="20"/>
              </w:rPr>
              <w:t xml:space="preserve">dishonesty of your employees (where you are liable to a third party for your employee's conduct)</w:t>
            </w:r>
          </w:p>
        </w:tc>
      </w:tr>
      <w:tr>
        <w:tc>
          <w:tcPr>
            <w:tcW w:type="dxa" w:w="1400"/>
            <w:tcMar>
              <w:top w:type="dxa" w:w="100"/>
              <w:left w:type="dxa" w:w="120"/>
              <w:bottom w:type="dxa" w:w="100"/>
              <w:right w:type="dxa" w:w="120"/>
            </w:tcMar>
            <w:vAlign w:val="top"/>
          </w:tcPr>
          <w:p>
            <w:pPr>
              <w:spacing w:after="0"/>
            </w:pPr>
            <w:r>
              <w:rPr>
                <w:sz w:val="20"/>
                <w:szCs w:val="20"/>
              </w:rPr>
              <w:t xml:space="preserve">(viii)</w:t>
            </w:r>
          </w:p>
        </w:tc>
        <w:tc>
          <w:tcPr>
            <w:tcW w:type="dxa" w:w="7950"/>
            <w:tcMar>
              <w:top w:type="dxa" w:w="100"/>
              <w:left w:type="dxa" w:w="120"/>
              <w:bottom w:type="dxa" w:w="100"/>
              <w:right w:type="dxa" w:w="120"/>
            </w:tcMar>
            <w:vAlign w:val="top"/>
          </w:tcPr>
          <w:p>
            <w:pPr>
              <w:spacing w:after="60"/>
            </w:pPr>
            <w:r>
              <w:rPr>
                <w:sz w:val="20"/>
                <w:szCs w:val="20"/>
              </w:rPr>
              <w:t xml:space="preserve">any other civil liability arising from your professional services</w:t>
            </w:r>
          </w:p>
        </w:tc>
      </w:tr>
    </w:tbl>
    <w:p>
      <w:pPr>
        <w:spacing w:after="160"/>
      </w:pPr>
      <w:r>
        <w:rPr>
          <w:sz w:val="21"/>
          <w:szCs w:val="21"/>
        </w:rPr>
        <w:t xml:space="preserve">unless excluded under Section 3.</w:t>
      </w:r>
    </w:p>
    <w:p>
      <w:pPr>
        <w:spacing w:after="120" w:before="240"/>
      </w:pPr>
      <w:r>
        <w:rPr>
          <w:b/>
          <w:bCs/>
          <w:sz w:val="23"/>
          <w:szCs w:val="23"/>
        </w:rPr>
        <w:t xml:space="preserve">2.2 Notification of Circumstances</w:t>
      </w:r>
    </w:p>
    <w:p>
      <w:pPr>
        <w:spacing w:after="160"/>
      </w:pPr>
      <w:r>
        <w:rPr>
          <w:sz w:val="21"/>
          <w:szCs w:val="21"/>
        </w:rPr>
        <w:t xml:space="preserve">If during the policy period you become aware of any fact, matter, or circumstance that might reasonably be expected to give rise to a claim against you, and you tell us about it in writing during the policy period, then any claim that later arises from those facts will be treated as a claim first made during this policy period. This clause implements s.40(3) of the Insurance Contracts Act 1984 (Cth).</w:t>
      </w:r>
    </w:p>
    <w:p>
      <w:pPr>
        <w:spacing w:after="160"/>
      </w:pPr>
      <w:r>
        <w:rPr>
          <w:sz w:val="21"/>
          <w:szCs w:val="21"/>
        </w:rPr>
        <w:t xml:space="preserve">Your written notice must include: (a) the reasons why you think a claim might arise; (b) the details of the act, error, or omission involved; (c) the identity of any potential claimant (if known); and (d) an estimate of the potential value (if possible).</w:t>
      </w:r>
    </w:p>
    <w:p>
      <w:pPr>
        <w:spacing w:after="120" w:before="240"/>
      </w:pPr>
      <w:r>
        <w:rPr>
          <w:b/>
          <w:bCs/>
          <w:sz w:val="23"/>
          <w:szCs w:val="23"/>
        </w:rPr>
        <w:t xml:space="preserve">2.3 Avoiding a Potential Claim</w:t>
      </w:r>
    </w:p>
    <w:p>
      <w:pPr>
        <w:spacing w:after="160"/>
      </w:pPr>
      <w:r>
        <w:rPr>
          <w:sz w:val="21"/>
          <w:szCs w:val="21"/>
        </w:rPr>
        <w:t xml:space="preserve">This extension applies where: (a) your client disputes a fee or other amount you claim they owe for your professional services, and has given you specific reasons for that dispute that, if accepted, would found a claim against you under Section 2.1; (b) your client has threatened, in writing or otherwise on the record, to bring such a claim for an amount exceeding the disputed fee; and (c) we reasonably consider that paying you the disputed amount is likely to avoid that claim being made.</w:t>
      </w:r>
    </w:p>
    <w:p>
      <w:pPr>
        <w:spacing w:after="160"/>
      </w:pPr>
      <w:r>
        <w:rPr>
          <w:sz w:val="21"/>
          <w:szCs w:val="21"/>
        </w:rPr>
        <w:t xml:space="preserve">Before acting under this extension, we will give you reasonable notice of our intention and consider any objection you raise. If we proceed, we may pay you the disputed amount (above the excess), and you agree not to pursue your client for that amount.</w:t>
      </w:r>
    </w:p>
    <w:p>
      <w:pPr>
        <w:spacing w:after="160"/>
      </w:pPr>
      <w:r>
        <w:rPr>
          <w:sz w:val="21"/>
          <w:szCs w:val="21"/>
        </w:rPr>
        <w:t xml:space="preserve">This extension does not limit your right to make a claim, and does not affect the trigger for a claim under Section 2.1, if a claim is later made despite our payment under this extension. If a claim is still made, our total payment including what we have already paid under this extension will not exceed the limit of liability. If you later recover the debt, you must repay us less your reasonable collection expenses.</w:t>
      </w:r>
    </w:p>
    <w:p>
      <w:pPr>
        <w:spacing w:after="120" w:before="240"/>
      </w:pPr>
      <w:r>
        <w:rPr>
          <w:b/>
          <w:bCs/>
          <w:sz w:val="23"/>
          <w:szCs w:val="23"/>
        </w:rPr>
        <w:t xml:space="preserve">2.4 Extensions of Cover</w:t>
      </w:r>
    </w:p>
    <w:p>
      <w:pPr>
        <w:spacing w:after="160"/>
      </w:pPr>
      <w:r>
        <w:rPr>
          <w:sz w:val="21"/>
          <w:szCs w:val="21"/>
        </w:rPr>
        <w:t xml:space="preserve">The following extensions are included automatically and are subject to the limit of liability unless a separate sub-limit is stated.</w:t>
      </w:r>
    </w:p>
    <w:p>
      <w:pPr>
        <w:spacing w:after="100" w:before="180"/>
      </w:pPr>
      <w:r>
        <w:rPr>
          <w:b/>
          <w:bCs/>
          <w:sz w:val="21"/>
          <w:szCs w:val="21"/>
        </w:rPr>
        <w:t xml:space="preserve">2.4.1 Loss of Documents and Data</w:t>
      </w:r>
    </w:p>
    <w:p>
      <w:pPr>
        <w:spacing w:after="160"/>
      </w:pPr>
      <w:r>
        <w:rPr>
          <w:sz w:val="21"/>
          <w:szCs w:val="21"/>
        </w:rPr>
        <w:t xml:space="preserve">If during the policy period any document or electronic data necessary for your business activity — whether in tangible or electronic form — is lost, corrupted, damaged, or destroyed while in your care, custody, or control, we will pay the reasonable cost of restoring or replacing it, with our prior written consent. This extension responds regardless of whether the cause is a Cyber Event as described in Section 3.4: that exclusion applies to your liability to third parties, and does not affect your own first-party cost of restoring your own documents or data under this extension.</w:t>
      </w:r>
    </w:p>
    <w:p>
      <w:pPr>
        <w:spacing w:after="100" w:before="180"/>
      </w:pPr>
      <w:r>
        <w:rPr>
          <w:b/>
          <w:bCs/>
          <w:sz w:val="21"/>
          <w:szCs w:val="21"/>
        </w:rPr>
        <w:t xml:space="preserve">2.4.2 First-Party Dishonesty</w:t>
      </w:r>
    </w:p>
    <w:p>
      <w:pPr>
        <w:spacing w:after="160"/>
      </w:pPr>
      <w:r>
        <w:rPr>
          <w:sz w:val="21"/>
          <w:szCs w:val="21"/>
        </w:rPr>
        <w:t xml:space="preserve">If during the policy period you discover that an employee has caused you a direct financial loss through dishonest or fraudulent conduct — intending to cause you loss and to obtain a personal financial benefit beyond their normal compensation — we will pay your direct financial loss. We will deduct any amounts the employee owes you or any property of the employee that you hold.</w:t>
      </w:r>
    </w:p>
    <w:p>
      <w:pPr>
        <w:spacing w:after="100" w:before="180"/>
      </w:pPr>
      <w:r>
        <w:rPr>
          <w:b/>
          <w:bCs/>
          <w:sz w:val="21"/>
          <w:szCs w:val="21"/>
        </w:rPr>
        <w:t xml:space="preserve">2.4.3 Statutory Liability</w:t>
      </w:r>
    </w:p>
    <w:p>
      <w:pPr>
        <w:spacing w:after="160"/>
      </w:pPr>
      <w:r>
        <w:rPr>
          <w:sz w:val="21"/>
          <w:szCs w:val="21"/>
        </w:rPr>
        <w:t xml:space="preserve">We will pay insurable fines, penalties, and defence costs arising from a prosecution or formal regulatory proceeding brought against you during the policy period under any Australian statute, in connection with your business activity. We do not pay fines or penalties that are not insurable at law, or any amount arising from deliberate or reckless conduct.</w:t>
      </w:r>
    </w:p>
    <w:p>
      <w:pPr>
        <w:spacing w:after="100" w:before="180"/>
      </w:pPr>
      <w:r>
        <w:rPr>
          <w:b/>
          <w:bCs/>
          <w:sz w:val="21"/>
          <w:szCs w:val="21"/>
        </w:rPr>
        <w:t xml:space="preserve">2.4.4 Inquiry Costs</w:t>
      </w:r>
    </w:p>
    <w:p>
      <w:pPr>
        <w:spacing w:after="160"/>
      </w:pPr>
      <w:r>
        <w:rPr>
          <w:sz w:val="21"/>
          <w:szCs w:val="21"/>
        </w:rPr>
        <w:t xml:space="preserve">We will pay your defence costs in responding to a formal investigation or inquiry by a regulator (including ASIC, OAIC, ACCC, or a state or territory equivalent) into your conduct in connection with your business activity, provided the investigation is first notified to us during the policy period.</w:t>
      </w:r>
    </w:p>
    <w:p>
      <w:pPr>
        <w:spacing w:after="160"/>
      </w:pPr>
      <w:r>
        <w:rPr>
          <w:sz w:val="21"/>
          <w:szCs w:val="21"/>
        </w:rPr>
        <w:t xml:space="preserve">This extension applies to a formal investigation or inquiry that has not yet become a claim within paragraph (c) of the definition of </w:t>
      </w:r>
      <w:r>
        <w:rPr>
          <w:b/>
          <w:bCs/>
          <w:sz w:val="21"/>
          <w:szCs w:val="21"/>
        </w:rPr>
        <w:t xml:space="preserve">Claim</w:t>
      </w:r>
      <w:r>
        <w:rPr>
          <w:sz w:val="21"/>
          <w:szCs w:val="21"/>
        </w:rPr>
        <w:t xml:space="preserve">. If the investigation or inquiry becomes such a claim, cover for it continues under Section 2.1 (Claims Against You) instead of this extension, and the trigger, limit, and excess applicable to a claim apply from that point.</w:t>
      </w:r>
    </w:p>
    <w:p>
      <w:pPr>
        <w:spacing w:after="100" w:before="180"/>
      </w:pPr>
      <w:r>
        <w:rPr>
          <w:b/>
          <w:bCs/>
          <w:sz w:val="21"/>
          <w:szCs w:val="21"/>
        </w:rPr>
        <w:t xml:space="preserve">2.4.5 Continuous Cover</w:t>
      </w:r>
    </w:p>
    <w:p>
      <w:pPr>
        <w:spacing w:after="160"/>
      </w:pPr>
      <w:r>
        <w:rPr>
          <w:sz w:val="21"/>
          <w:szCs w:val="21"/>
        </w:rPr>
        <w:t xml:space="preserve">If a claim is made against you during the policy period and: (a) it arises from an act, error, or omission you should have notified under a previous PI policy; (b) you did not know about it at the time; (c) you had continuous PI cover in the interim; and (d) this policy provides equivalent or narrower cover than the previous policy — we will cover the claim as if it had been properly notified under the previous policy, subject to the terms of this policy, except that our liability will not exceed the lower of the limit of liability under this policy and the limit of liability that applied under the previous policy at the time of the act, error, or omission.</w:t>
      </w:r>
    </w:p>
    <w:p>
      <w:pPr>
        <w:spacing w:after="100" w:before="180"/>
      </w:pPr>
      <w:r>
        <w:rPr>
          <w:b/>
          <w:bCs/>
          <w:sz w:val="21"/>
          <w:szCs w:val="21"/>
        </w:rPr>
        <w:t xml:space="preserve">2.4.6 Mitigation Costs</w:t>
      </w:r>
    </w:p>
    <w:p>
      <w:pPr>
        <w:spacing w:after="160"/>
      </w:pPr>
      <w:r>
        <w:rPr>
          <w:sz w:val="21"/>
          <w:szCs w:val="21"/>
        </w:rPr>
        <w:t xml:space="preserve">We will pay the reasonable costs you incur, with our prior written consent, to prevent or reduce a loss that would otherwise be covered by this policy.</w:t>
      </w:r>
    </w:p>
    <w:p>
      <w:pPr>
        <w:spacing w:after="100" w:before="180"/>
      </w:pPr>
      <w:r>
        <w:rPr>
          <w:b/>
          <w:bCs/>
          <w:sz w:val="21"/>
          <w:szCs w:val="21"/>
        </w:rPr>
        <w:t xml:space="preserve">2.4.7 Public Relations Costs</w:t>
      </w:r>
    </w:p>
    <w:p>
      <w:pPr>
        <w:spacing w:after="160"/>
      </w:pPr>
      <w:r>
        <w:rPr>
          <w:sz w:val="21"/>
          <w:szCs w:val="21"/>
        </w:rPr>
        <w:t xml:space="preserve">Following a claim covered by this policy, we will pay the reasonable costs of engaging a public relations consultant to protect or restore your professional reputation.</w:t>
      </w:r>
    </w:p>
    <w:p>
      <w:pPr>
        <w:spacing w:after="100" w:before="180"/>
      </w:pPr>
      <w:r>
        <w:rPr>
          <w:b/>
          <w:bCs/>
          <w:sz w:val="21"/>
          <w:szCs w:val="21"/>
        </w:rPr>
        <w:t xml:space="preserve">2.4.8 Court Attendance</w:t>
      </w:r>
    </w:p>
    <w:p>
      <w:pPr>
        <w:spacing w:after="160"/>
      </w:pPr>
      <w:r>
        <w:rPr>
          <w:sz w:val="21"/>
          <w:szCs w:val="21"/>
        </w:rPr>
        <w:t xml:space="preserve">If any insured person or employee attends court, a tribunal, or an arbitration as a witness in connection with a claim covered by this policy, we will pay the amount shown in the schedule for each day or part-day of attendance required by us (or $500 for each day or part-day if no amount is shown in the schedule).</w:t>
      </w:r>
    </w:p>
    <w:p>
      <w:pPr>
        <w:spacing w:after="100" w:before="180"/>
      </w:pPr>
      <w:r>
        <w:rPr>
          <w:b/>
          <w:bCs/>
          <w:sz w:val="21"/>
          <w:szCs w:val="21"/>
        </w:rPr>
        <w:t xml:space="preserve">2.4.9 Newly Acquired Subsidiaries</w:t>
      </w:r>
    </w:p>
    <w:p>
      <w:pPr>
        <w:spacing w:after="160"/>
      </w:pPr>
      <w:r>
        <w:rPr>
          <w:sz w:val="21"/>
          <w:szCs w:val="21"/>
        </w:rPr>
        <w:t xml:space="preserve">If during the policy period you acquire or create a new subsidiary, it is automatically covered for 60 days — provided its annual revenue does not exceed the amount shown in the schedule for this purpose (or $5,000,000 if no amount is shown) and its business activity is the same as or similar to yours. You must tell us within 60 days; we may adjust the premium or terms.</w:t>
      </w:r>
    </w:p>
    <w:p>
      <w:pPr>
        <w:spacing w:after="100" w:before="180"/>
      </w:pPr>
      <w:r>
        <w:rPr>
          <w:b/>
          <w:bCs/>
          <w:sz w:val="21"/>
          <w:szCs w:val="21"/>
        </w:rPr>
        <w:t xml:space="preserve">2.4.10 Joint Ventures</w:t>
      </w:r>
    </w:p>
    <w:p>
      <w:pPr>
        <w:spacing w:after="160"/>
      </w:pPr>
      <w:r>
        <w:rPr>
          <w:sz w:val="21"/>
          <w:szCs w:val="21"/>
        </w:rPr>
        <w:t xml:space="preserve">We will cover your liability arising from a claim in connection with a </w:t>
      </w:r>
      <w:r>
        <w:rPr>
          <w:b/>
          <w:bCs/>
          <w:sz w:val="21"/>
          <w:szCs w:val="21"/>
        </w:rPr>
        <w:t xml:space="preserve">joint venture</w:t>
      </w:r>
      <w:r>
        <w:rPr>
          <w:sz w:val="21"/>
          <w:szCs w:val="21"/>
        </w:rPr>
        <w:t xml:space="preserve"> in which you hold an interest of 50% or more, but only to the extent that the liability arises from your own acts, errors, or omissions, or your own proportionate share of the joint venture's liability under the arrangement governing it. We do not cover liability arising solely from the acts, errors, or omissions of another joint venture participant, except to the extent you are liable for them at law and that liability arises from your business activity.</w:t>
      </w:r>
    </w:p>
    <w:p>
      <w:pPr>
        <w:spacing w:after="160"/>
      </w:pPr>
      <w:r>
        <w:rPr>
          <w:i/>
          <w:iCs/>
          <w:color w:val="1C1915"/>
          <w:sz w:val="21"/>
          <w:szCs w:val="21"/>
        </w:rPr>
        <w:t xml:space="preserve"/>
      </w:r>
    </w:p>
    <w:p>
      <w:pPr>
        <w:spacing w:after="100" w:before="180"/>
      </w:pPr>
      <w:r>
        <w:rPr>
          <w:b/>
          <w:bCs/>
          <w:sz w:val="21"/>
          <w:szCs w:val="21"/>
        </w:rPr>
        <w:t xml:space="preserve">2.4.11 Predecessor Practices</w:t>
      </w:r>
    </w:p>
    <w:p>
      <w:pPr>
        <w:spacing w:after="160"/>
      </w:pPr>
      <w:r>
        <w:rPr>
          <w:sz w:val="21"/>
          <w:szCs w:val="21"/>
        </w:rPr>
        <w:t xml:space="preserve">We will cover claims arising from the business activity of any predecessor practice, as if the predecessor practice's work had been performed by you.</w:t>
      </w:r>
    </w:p>
    <w:p>
      <w:pPr>
        <w:spacing w:after="100" w:before="180"/>
      </w:pPr>
      <w:r>
        <w:rPr>
          <w:b/>
          <w:bCs/>
          <w:sz w:val="21"/>
          <w:szCs w:val="21"/>
        </w:rPr>
        <w:t xml:space="preserve">2.4.12 Run-Off Cover</w:t>
      </w:r>
    </w:p>
    <w:p>
      <w:pPr>
        <w:spacing w:after="160"/>
      </w:pPr>
      <w:r>
        <w:rPr>
          <w:sz w:val="21"/>
          <w:szCs w:val="21"/>
        </w:rPr>
        <w:t xml:space="preserve">If you permanently cease to practise during the policy period (for any reason other than merger or acquisition), this policy automatically continues, without additional premium, to cover claims first made against you and notified to us before the end of the policy period. All terms, conditions, exclusions, and the limit of liability continue to apply. This automatic cover ends at the end of the policy period and is not extended by this Section 2.4.12 beyond that date, except as set out below.</w:t>
      </w:r>
    </w:p>
    <w:p>
      <w:pPr>
        <w:spacing w:after="160"/>
      </w:pPr>
      <w:r>
        <w:rPr>
          <w:sz w:val="21"/>
          <w:szCs w:val="21"/>
        </w:rPr>
        <w:t xml:space="preserve">You may ask us for a quotation to extend cover under this policy for claims first made after the end of the policy period, for a period of up to 84 months after the end of the policy period (or such other maximum period as is shown in the schedule). We will respond to a request made under this paragraph within 30 days of receiving it. We are not obliged to offer terms for an extension, and may decline to offer an extension or may offer one on conditions we consider appropriate. If we agree to offer an extension, it is implemented under Endorsement E01, for the period, on payment of the premium, and subject to the terms shown in the schedule or endorsement schedule for that endorsement.</w:t>
      </w:r>
    </w:p>
    <w:p>
      <w:pPr>
        <w:spacing w:after="160"/>
      </w:pPr>
      <w:r>
        <w:rPr>
          <w:sz w:val="21"/>
          <w:szCs w:val="21"/>
        </w:rPr>
        <w:t xml:space="preserve">Nothing in this Section 2.4.12 affects your rights, or our obligations, under Section 2.2 (Notification of Circumstances) or s.40(3) of the Insurance Contracts Act 1984 (Cth). A fact, matter, or circumstance you notify to us in accordance with Section 2.2 before the end of the policy period remains covered as a claim first made during the policy period, whether or not you request, or we offer or agree to, an extension of run-off cover under this clause.</w:t>
      </w:r>
    </w:p>
    <w:p>
      <w:pPr>
        <w:spacing w:after="100" w:before="180"/>
      </w:pPr>
      <w:r>
        <w:rPr>
          <w:b/>
          <w:bCs/>
          <w:sz w:val="21"/>
          <w:szCs w:val="21"/>
        </w:rPr>
        <w:t xml:space="preserve">2.4.13 Subcontractors and Outsourcers</w:t>
      </w:r>
    </w:p>
    <w:p>
      <w:pPr>
        <w:spacing w:after="160"/>
      </w:pPr>
      <w:r>
        <w:rPr>
          <w:sz w:val="21"/>
          <w:szCs w:val="21"/>
        </w:rPr>
        <w:t xml:space="preserve">We will cover you for any claim arising from work performed on your behalf by a subcontractor or outsourcer, provided the work falls within your business activity.</w:t>
      </w:r>
    </w:p>
    <w:p>
      <w:r>
        <w:br w:type="page"/>
      </w:r>
    </w:p>
    <w:p>
      <w:pPr>
        <w:spacing w:after="180" w:before="360"/>
      </w:pPr>
      <w:r>
        <w:rPr>
          <w:b/>
          <w:bCs/>
          <w:sz w:val="27"/>
          <w:szCs w:val="27"/>
        </w:rPr>
        <w:t xml:space="preserve">3 What Is Not Covered</w:t>
      </w:r>
    </w:p>
    <w:p>
      <w:pPr>
        <w:spacing w:after="160"/>
      </w:pPr>
      <w:r>
        <w:rPr>
          <w:sz w:val="21"/>
          <w:szCs w:val="21"/>
        </w:rPr>
        <w:t xml:space="preserve">We do not cover any claim, loss, or liability:</w:t>
      </w:r>
    </w:p>
    <w:p>
      <w:pPr>
        <w:spacing w:after="120" w:before="240"/>
      </w:pPr>
      <w:r>
        <w:rPr>
          <w:b/>
          <w:bCs/>
          <w:sz w:val="23"/>
          <w:szCs w:val="23"/>
        </w:rPr>
        <w:t xml:space="preserve">3.1 Bodily Injury and Property Damage</w:t>
      </w:r>
    </w:p>
    <w:p>
      <w:pPr>
        <w:spacing w:after="160"/>
      </w:pPr>
      <w:r>
        <w:rPr>
          <w:sz w:val="21"/>
          <w:szCs w:val="21"/>
        </w:rPr>
        <w:t xml:space="preserve">Arising from the death, bodily injury, illness, or disease of any person, or from physical loss of or damage to tangible property — unless the liability arises directly from a breach of your professional duty of care in performing your business activity.</w:t>
      </w:r>
    </w:p>
    <w:p>
      <w:pPr>
        <w:spacing w:after="120" w:before="240"/>
      </w:pPr>
      <w:r>
        <w:rPr>
          <w:b/>
          <w:bCs/>
          <w:sz w:val="23"/>
          <w:szCs w:val="23"/>
        </w:rPr>
        <w:t xml:space="preserve">3.2 Employer's Liability</w:t>
      </w:r>
    </w:p>
    <w:p>
      <w:pPr>
        <w:spacing w:after="160"/>
      </w:pPr>
      <w:r>
        <w:rPr>
          <w:sz w:val="21"/>
          <w:szCs w:val="21"/>
        </w:rPr>
        <w:t xml:space="preserve">Arising from your obligations or conduct as an employer, including wrongful dismissal, discrimination, harassment, or breach of employment law.</w:t>
      </w:r>
    </w:p>
    <w:p>
      <w:pPr>
        <w:spacing w:after="160"/>
      </w:pPr>
      <w:r>
        <w:rPr>
          <w:sz w:val="21"/>
          <w:szCs w:val="21"/>
        </w:rPr>
        <w:t xml:space="preserve">This exposure is designed to be covered under a management liability or employment practices liability policy.</w:t>
      </w:r>
    </w:p>
    <w:p>
      <w:pPr>
        <w:spacing w:after="120" w:before="240"/>
      </w:pPr>
      <w:r>
        <w:rPr>
          <w:b/>
          <w:bCs/>
          <w:sz w:val="23"/>
          <w:szCs w:val="23"/>
        </w:rPr>
        <w:t xml:space="preserve">3.3 Directors' and Officers' Liability</w:t>
      </w:r>
    </w:p>
    <w:p>
      <w:pPr>
        <w:spacing w:after="160"/>
      </w:pPr>
      <w:r>
        <w:rPr>
          <w:sz w:val="21"/>
          <w:szCs w:val="21"/>
        </w:rPr>
        <w:t xml:space="preserve">Arising from an insured person's personal liability as a director or officer of any entity other than the company, or from the management of the company (as distinct from the performance of professional services for clients).</w:t>
      </w:r>
    </w:p>
    <w:p>
      <w:pPr>
        <w:spacing w:after="160"/>
      </w:pPr>
      <w:r>
        <w:rPr>
          <w:sz w:val="21"/>
          <w:szCs w:val="21"/>
        </w:rPr>
        <w:t xml:space="preserve">This exposure is designed to be covered under a directors' and officers' liability policy.</w:t>
      </w:r>
    </w:p>
    <w:p>
      <w:pPr>
        <w:spacing w:after="120" w:before="240"/>
      </w:pPr>
      <w:r>
        <w:rPr>
          <w:b/>
          <w:bCs/>
          <w:sz w:val="23"/>
          <w:szCs w:val="23"/>
        </w:rPr>
        <w:t xml:space="preserve">3.4 Cyber Event</w:t>
      </w:r>
    </w:p>
    <w:p>
      <w:pPr>
        <w:spacing w:after="160"/>
      </w:pPr>
      <w:r>
        <w:rPr>
          <w:sz w:val="21"/>
          <w:szCs w:val="21"/>
        </w:rPr>
        <w:t xml:space="preserve">Arising from: (a) unauthorised access to or interference with your computer system or data; (b) ransomware, malware, or denial-of-service attacks; (c) failure of your computer system's security; or (d) loss, theft, or unauthorised disclosure of data held electronically — unless the liability arises directly from a breach of your professional duty of care performing business activity for a client.</w:t>
      </w:r>
    </w:p>
    <w:p>
      <w:pPr>
        <w:spacing w:after="160"/>
      </w:pPr>
      <w:r>
        <w:rPr>
          <w:sz w:val="21"/>
          <w:szCs w:val="21"/>
        </w:rPr>
        <w:t xml:space="preserve">This exposure is designed to be covered under a cyber insurance policy.</w:t>
      </w:r>
    </w:p>
    <w:p>
      <w:pPr>
        <w:spacing w:after="120" w:before="240"/>
      </w:pPr>
      <w:r>
        <w:rPr>
          <w:b/>
          <w:bCs/>
          <w:sz w:val="23"/>
          <w:szCs w:val="23"/>
        </w:rPr>
        <w:t xml:space="preserve">3.5 Financial Services</w:t>
      </w:r>
    </w:p>
    <w:p>
      <w:pPr>
        <w:spacing w:after="160"/>
      </w:pPr>
      <w:r>
        <w:rPr>
          <w:sz w:val="21"/>
          <w:szCs w:val="21"/>
        </w:rPr>
        <w:t xml:space="preserve">Arising from any activity regulated by ASIC, APRA, or any equivalent regulator, including investment advice, financial product advice, credit activities, funds management, or dealing in securities.</w:t>
      </w:r>
    </w:p>
    <w:p>
      <w:pPr>
        <w:spacing w:after="120" w:before="240"/>
      </w:pPr>
      <w:r>
        <w:rPr>
          <w:b/>
          <w:bCs/>
          <w:sz w:val="23"/>
          <w:szCs w:val="23"/>
        </w:rPr>
        <w:t xml:space="preserve">3.6 Products</w:t>
      </w:r>
    </w:p>
    <w:p>
      <w:pPr>
        <w:spacing w:after="160"/>
      </w:pPr>
      <w:r>
        <w:rPr>
          <w:sz w:val="21"/>
          <w:szCs w:val="21"/>
        </w:rPr>
        <w:t xml:space="preserve">Arising from the design, manufacture, supply, distribution, sale, or recall of any tangible product.</w:t>
      </w:r>
    </w:p>
    <w:p>
      <w:pPr>
        <w:spacing w:after="160"/>
      </w:pPr>
      <w:r>
        <w:rPr>
          <w:sz w:val="21"/>
          <w:szCs w:val="21"/>
        </w:rPr>
        <w:t xml:space="preserve">This exposure is designed to be covered under a products liability policy.</w:t>
      </w:r>
    </w:p>
    <w:p>
      <w:pPr>
        <w:spacing w:after="120" w:before="240"/>
      </w:pPr>
      <w:r>
        <w:rPr>
          <w:b/>
          <w:bCs/>
          <w:sz w:val="23"/>
          <w:szCs w:val="23"/>
        </w:rPr>
        <w:t xml:space="preserve">3.7 Contractual Liability</w:t>
      </w:r>
    </w:p>
    <w:p>
      <w:pPr>
        <w:spacing w:after="160"/>
      </w:pPr>
      <w:r>
        <w:rPr>
          <w:sz w:val="21"/>
          <w:szCs w:val="21"/>
        </w:rPr>
        <w:t xml:space="preserve">For any liability you assume under a contract that is greater than the liability you would have at law without the contract.</w:t>
      </w:r>
    </w:p>
    <w:p>
      <w:pPr>
        <w:spacing w:after="120" w:before="240"/>
      </w:pPr>
      <w:r>
        <w:rPr>
          <w:b/>
          <w:bCs/>
          <w:sz w:val="23"/>
          <w:szCs w:val="23"/>
        </w:rPr>
        <w:t xml:space="preserve">3.8 Deliberate and Dishonest Acts</w:t>
      </w:r>
    </w:p>
    <w:p>
      <w:pPr>
        <w:spacing w:after="160"/>
      </w:pPr>
      <w:r>
        <w:rPr>
          <w:sz w:val="21"/>
          <w:szCs w:val="21"/>
        </w:rPr>
        <w:t xml:space="preserve">Arising from any act, error, or omission you deliberately, dishonestly, fraudulently, criminally, or maliciously commit, condone, or ignore — but only to the extent that a </w:t>
      </w:r>
      <w:r>
        <w:rPr>
          <w:b/>
          <w:bCs/>
          <w:sz w:val="21"/>
          <w:szCs w:val="21"/>
        </w:rPr>
        <w:t xml:space="preserve">Final adjudication</w:t>
      </w:r>
      <w:r>
        <w:rPr>
          <w:sz w:val="21"/>
          <w:szCs w:val="21"/>
        </w:rPr>
        <w:t xml:space="preserve"> establishes that you personally committed, condoned, or participated in that conduct. Until Final adjudication, we will advance defence costs under Section 4.3. If Final adjudication then establishes that this exclusion applies, you must repay the defence costs advanced in connection with that conduct, in accordance with Section 4.3.</w:t>
      </w:r>
    </w:p>
    <w:p>
      <w:pPr>
        <w:spacing w:after="160"/>
      </w:pPr>
      <w:r>
        <w:rPr>
          <w:sz w:val="21"/>
          <w:szCs w:val="21"/>
        </w:rPr>
        <w:t xml:space="preserve">However: we will still cover any insured person who did not personally commit, condone, or participate in the conduct — this protection applies separately to each insured person, and a Final adjudication establishing the conduct against one insured person does not, of itself, establish that conduct against another insured person. This exclusion does not apply to the dishonesty extension in Section 2.4.2 or the vicarious liability cover in Section 2.1(vii).</w:t>
      </w:r>
    </w:p>
    <w:p>
      <w:pPr>
        <w:spacing w:after="120" w:before="240"/>
      </w:pPr>
      <w:r>
        <w:rPr>
          <w:b/>
          <w:bCs/>
          <w:sz w:val="23"/>
          <w:szCs w:val="23"/>
        </w:rPr>
        <w:t xml:space="preserve">3.9 Prior Known Circumstances</w:t>
      </w:r>
    </w:p>
    <w:p>
      <w:pPr>
        <w:spacing w:after="160"/>
      </w:pPr>
      <w:r>
        <w:rPr>
          <w:sz w:val="21"/>
          <w:szCs w:val="21"/>
        </w:rPr>
        <w:t xml:space="preserve">Arising from any fact, matter, or circumstance: (a) that you knew about, or ought reasonably to have known about, before the start of this policy period (or before we first agreed to insure you, if earlier); and (b) that you knew, or ought reasonably to have known, might lead to a claim against you.</w:t>
      </w:r>
    </w:p>
    <w:p>
      <w:pPr>
        <w:spacing w:after="120" w:before="240"/>
      </w:pPr>
      <w:r>
        <w:rPr>
          <w:b/>
          <w:bCs/>
          <w:sz w:val="23"/>
          <w:szCs w:val="23"/>
        </w:rPr>
        <w:t xml:space="preserve">3.10 War, Terrorism, and Sanctions</w:t>
      </w:r>
    </w:p>
    <w:p>
      <w:pPr>
        <w:spacing w:after="160"/>
      </w:pPr>
      <w:r>
        <w:rPr>
          <w:sz w:val="21"/>
          <w:szCs w:val="21"/>
        </w:rPr>
        <w:t xml:space="preserve">Arising from: (a) war (whether or not declared), invasion, hostilities, rebellion, revolution, insurrection, civil unrest, or the use or usurpation of military power, or any similar belligerent act; (b) terrorism as defined by relevant Australian or foreign law; or (c) trade or economic sanctions imposed by Australia, the UN, EU, UK, or USA. We will not make any payment that would expose us to enforcement action.</w:t>
      </w:r>
    </w:p>
    <w:p>
      <w:pPr>
        <w:spacing w:after="120" w:before="240"/>
      </w:pPr>
      <w:r>
        <w:rPr>
          <w:b/>
          <w:bCs/>
          <w:sz w:val="23"/>
          <w:szCs w:val="23"/>
        </w:rPr>
        <w:t xml:space="preserve">3.11 Nuclear</w:t>
      </w:r>
    </w:p>
    <w:p>
      <w:pPr>
        <w:spacing w:after="160"/>
      </w:pPr>
      <w:r>
        <w:rPr>
          <w:sz w:val="21"/>
          <w:szCs w:val="21"/>
        </w:rPr>
        <w:t xml:space="preserve">Arising from nuclear reaction, radiation, or radioactive contamination, however caused.</w:t>
      </w:r>
    </w:p>
    <w:p>
      <w:pPr>
        <w:spacing w:after="120" w:before="240"/>
      </w:pPr>
      <w:r>
        <w:rPr>
          <w:b/>
          <w:bCs/>
          <w:sz w:val="23"/>
          <w:szCs w:val="23"/>
        </w:rPr>
        <w:t xml:space="preserve">3.12 Asbestos</w:t>
      </w:r>
    </w:p>
    <w:p>
      <w:pPr>
        <w:spacing w:after="160"/>
      </w:pPr>
      <w:r>
        <w:rPr>
          <w:sz w:val="21"/>
          <w:szCs w:val="21"/>
        </w:rPr>
        <w:t xml:space="preserve">Arising from or in connection with asbestos in any form, including its mining, manufacture, distribution, installation, presence, removal, or disposal.</w:t>
      </w:r>
    </w:p>
    <w:p>
      <w:pPr>
        <w:spacing w:after="120" w:before="240"/>
      </w:pPr>
      <w:r>
        <w:rPr>
          <w:b/>
          <w:bCs/>
          <w:sz w:val="23"/>
          <w:szCs w:val="23"/>
        </w:rPr>
        <w:t xml:space="preserve">3.13 Pollution</w:t>
      </w:r>
    </w:p>
    <w:p>
      <w:pPr>
        <w:spacing w:after="160"/>
      </w:pPr>
      <w:r>
        <w:rPr>
          <w:sz w:val="21"/>
          <w:szCs w:val="21"/>
        </w:rPr>
        <w:t xml:space="preserve">Arising from pollution — unless the pollution is sudden, accidental, unintended, and unexpected, and results directly from your business activity.</w:t>
      </w:r>
    </w:p>
    <w:p>
      <w:pPr>
        <w:spacing w:after="120" w:before="240"/>
      </w:pPr>
      <w:r>
        <w:rPr>
          <w:b/>
          <w:bCs/>
          <w:sz w:val="23"/>
          <w:szCs w:val="23"/>
        </w:rPr>
        <w:t xml:space="preserve">3.14 Trading Debts and Business Losses</w:t>
      </w:r>
    </w:p>
    <w:p>
      <w:pPr>
        <w:spacing w:after="160"/>
      </w:pPr>
      <w:r>
        <w:rPr>
          <w:sz w:val="21"/>
          <w:szCs w:val="21"/>
        </w:rPr>
        <w:t xml:space="preserve">For: (a) fees, charges, or debts owed to you; (b) your lost profit, mark-up, or overheads; (c) any trading loss or loss of any client, contract, or business opportunity; or (d) your liability for GST or any other tax.</w:t>
      </w:r>
    </w:p>
    <w:p>
      <w:pPr>
        <w:spacing w:after="120" w:before="240"/>
      </w:pPr>
      <w:r>
        <w:rPr>
          <w:b/>
          <w:bCs/>
          <w:sz w:val="23"/>
          <w:szCs w:val="23"/>
        </w:rPr>
        <w:t xml:space="preserve">3.15 Related Party Claims</w:t>
      </w:r>
    </w:p>
    <w:p>
      <w:pPr>
        <w:spacing w:after="160"/>
      </w:pPr>
      <w:r>
        <w:rPr>
          <w:sz w:val="21"/>
          <w:szCs w:val="21"/>
        </w:rPr>
        <w:t xml:space="preserve">For any claim brought by: (a) any entity that controls you, is controlled by you, or is under common control with you; (b) any person or entity holding a financial, executive, or managerial interest of 15% or more in you; or (c) any entity in which you hold such an interest. However: this exclusion does not apply to a claim based on your liability to an independent third party arising directly from the performance of your business activity for that third party.</w:t>
      </w:r>
    </w:p>
    <w:p>
      <w:pPr>
        <w:spacing w:after="120" w:before="240"/>
      </w:pPr>
      <w:r>
        <w:rPr>
          <w:b/>
          <w:bCs/>
          <w:sz w:val="23"/>
          <w:szCs w:val="23"/>
        </w:rPr>
        <w:t xml:space="preserve">3.16 Non-Compensatory Payments</w:t>
      </w:r>
    </w:p>
    <w:p>
      <w:pPr>
        <w:spacing w:after="160"/>
      </w:pPr>
      <w:r>
        <w:rPr>
          <w:sz w:val="21"/>
          <w:szCs w:val="21"/>
        </w:rPr>
        <w:t xml:space="preserve">For fines, penalties, punitive damages, exemplary damages, aggravated damages, or multiple damages — except where cover for fines or penalties is specifically provided under the statutory liability extension in Section 2.4.3.</w:t>
      </w:r>
    </w:p>
    <w:p>
      <w:r>
        <w:br w:type="page"/>
      </w:r>
    </w:p>
    <w:p>
      <w:pPr>
        <w:spacing w:after="180" w:before="360"/>
      </w:pPr>
      <w:r>
        <w:rPr>
          <w:b/>
          <w:bCs/>
          <w:sz w:val="27"/>
          <w:szCs w:val="27"/>
        </w:rPr>
        <w:t xml:space="preserve">4 How Much We Will Pay</w:t>
      </w:r>
    </w:p>
    <w:p>
      <w:pPr>
        <w:spacing w:after="120" w:before="240"/>
      </w:pPr>
      <w:r>
        <w:rPr>
          <w:b/>
          <w:bCs/>
          <w:sz w:val="23"/>
          <w:szCs w:val="23"/>
        </w:rPr>
        <w:t xml:space="preserve">4.1 Limit of Liability</w:t>
      </w:r>
    </w:p>
    <w:p>
      <w:pPr>
        <w:spacing w:after="160"/>
      </w:pPr>
      <w:r>
        <w:rPr>
          <w:sz w:val="21"/>
          <w:szCs w:val="21"/>
        </w:rPr>
        <w:t xml:space="preserve">The most we will pay for all claims and defence costs combined during the policy period is the limit of liability shown in your schedule. This is an aggregate limit — it applies to all claims combined, regardless of how many are made or how many insured persons are involved.</w:t>
      </w:r>
    </w:p>
    <w:p>
      <w:pPr>
        <w:spacing w:after="120" w:before="240"/>
      </w:pPr>
      <w:r>
        <w:rPr>
          <w:b/>
          <w:bCs/>
          <w:sz w:val="23"/>
          <w:szCs w:val="23"/>
        </w:rPr>
        <w:t xml:space="preserve">4.2 Sub-Limits</w:t>
      </w:r>
    </w:p>
    <w:p>
      <w:pPr>
        <w:spacing w:after="160"/>
      </w:pPr>
      <w:r>
        <w:rPr>
          <w:sz w:val="21"/>
          <w:szCs w:val="21"/>
        </w:rPr>
        <w:t xml:space="preserve">Where a sub-limit is shown — in this wording or the schedule — it is the most we will pay for that type of cover. Sub-limits are included within — not in addition to — the limit of liability, unless the schedule states otherwise.</w:t>
      </w:r>
    </w:p>
    <w:p>
      <w:pPr>
        <w:spacing w:after="120" w:before="240"/>
      </w:pPr>
      <w:r>
        <w:rPr>
          <w:b/>
          <w:bCs/>
          <w:sz w:val="23"/>
          <w:szCs w:val="23"/>
        </w:rPr>
        <w:t xml:space="preserve">4.3 Defence Costs</w:t>
      </w:r>
    </w:p>
    <w:p>
      <w:pPr>
        <w:spacing w:after="160"/>
      </w:pPr>
      <w:r>
        <w:rPr>
          <w:sz w:val="21"/>
          <w:szCs w:val="21"/>
        </w:rPr>
        <w:t xml:space="preserve">Defence costs are included within the limit of liability and reduce the amount available to pay compensation, unless the schedule states that defence costs are payable in addition to the limit. We will advance defence costs as they are incurred, without waiting for the final outcome of a claim. If a claim is later found not to be covered, you must repay any defence costs advanced for the uncovered portion, subject to Section 4.7 (Allocation) where the claim was only partly covered.</w:t>
      </w:r>
    </w:p>
    <w:p>
      <w:pPr>
        <w:spacing w:after="160"/>
      </w:pPr>
      <w:r>
        <w:rPr>
          <w:sz w:val="21"/>
          <w:szCs w:val="21"/>
        </w:rPr>
        <w:t xml:space="preserve">Where a claim involves conduct excluded under Section 3.8 (Deliberate and Dishonest Acts), repayment of defence costs advanced in connection with that conduct is required only after a Final adjudication establishes that the exclusion applies, consistent with Section 6.1 (Insurance Contracts Act 1984 (Cth)).</w:t>
      </w:r>
    </w:p>
    <w:p>
      <w:pPr>
        <w:spacing w:after="120" w:before="240"/>
      </w:pPr>
      <w:r>
        <w:rPr>
          <w:b/>
          <w:bCs/>
          <w:sz w:val="23"/>
          <w:szCs w:val="23"/>
        </w:rPr>
        <w:t xml:space="preserve">4.4 Excess</w:t>
      </w:r>
    </w:p>
    <w:p>
      <w:pPr>
        <w:spacing w:after="160"/>
      </w:pPr>
      <w:r>
        <w:rPr>
          <w:sz w:val="21"/>
          <w:szCs w:val="21"/>
        </w:rPr>
        <w:t xml:space="preserve">You must pay the excess shown in the schedule as the first part of each claim, applied to loss and defence costs combined unless the schedule states otherwise. The excess applies even where a claim involves only defence costs.</w:t>
      </w:r>
    </w:p>
    <w:p>
      <w:pPr>
        <w:spacing w:after="120" w:before="240"/>
      </w:pPr>
      <w:r>
        <w:rPr>
          <w:b/>
          <w:bCs/>
          <w:sz w:val="23"/>
          <w:szCs w:val="23"/>
        </w:rPr>
        <w:t xml:space="preserve">4.5 Other Insurance</w:t>
      </w:r>
    </w:p>
    <w:p>
      <w:pPr>
        <w:spacing w:after="160"/>
      </w:pPr>
      <w:r>
        <w:rPr>
          <w:sz w:val="21"/>
          <w:szCs w:val="21"/>
        </w:rPr>
        <w:t xml:space="preserve">If you have other insurance that covers the same loss, notify us promptly. Consistent with s.45 of the Insurance Contracts Act 1984 (Cth), you may claim under this policy or your other policy. We may seek contribution from the other insurer in proportion to each policy's liability.</w:t>
      </w:r>
    </w:p>
    <w:p>
      <w:pPr>
        <w:spacing w:after="120" w:before="240"/>
      </w:pPr>
      <w:r>
        <w:rPr>
          <w:b/>
          <w:bCs/>
          <w:sz w:val="23"/>
          <w:szCs w:val="23"/>
        </w:rPr>
        <w:t xml:space="preserve">4.6 Paying Out the Limit</w:t>
      </w:r>
    </w:p>
    <w:p>
      <w:pPr>
        <w:spacing w:after="160"/>
      </w:pPr>
      <w:r>
        <w:rPr>
          <w:sz w:val="21"/>
          <w:szCs w:val="21"/>
        </w:rPr>
        <w:t xml:space="preserve">At any time during a claim, we may pay you the limit of liability (or whatever remains after earlier payments) and our obligation to defend or pay further amounts will end. We will give you reasonable notice and the opportunity to take over the defence at your own cost before doing so.</w:t>
      </w:r>
    </w:p>
    <w:p>
      <w:pPr>
        <w:spacing w:after="120" w:before="240"/>
      </w:pPr>
      <w:r>
        <w:rPr>
          <w:b/>
          <w:bCs/>
          <w:sz w:val="23"/>
          <w:szCs w:val="23"/>
        </w:rPr>
        <w:t xml:space="preserve">4.7 Allocation</w:t>
      </w:r>
    </w:p>
    <w:p>
      <w:pPr>
        <w:spacing w:after="160"/>
      </w:pPr>
      <w:r>
        <w:rPr>
          <w:sz w:val="21"/>
          <w:szCs w:val="21"/>
        </w:rPr>
        <w:t xml:space="preserve">Where a claim involves both: (a) amounts covered and amounts not covered under this policy; or (b) an insured and a person or entity who is not insured under this policy — we and you must use reasonable endeavours to agree a fair and reasonable allocation of loss and defence costs between the covered and uncovered amounts, parties, or causes of action, having regard to their relative legal and financial exposures. An allocation agreed or determined under this Section 4.7 does not itself determine whether conduct is excluded under Section 3.8 (Deliberate and Dishonest Acts); that question is determined only by Final adjudication, and advancement continues in the meantime on the terms of Section 4.3.</w:t>
      </w:r>
    </w:p>
    <w:p>
      <w:pPr>
        <w:spacing w:after="160"/>
      </w:pPr>
      <w:r>
        <w:rPr>
          <w:sz w:val="21"/>
          <w:szCs w:val="21"/>
        </w:rPr>
        <w:t xml:space="preserve">If we and you cannot agree an allocation within a reasonable time, the dispute will be determined by Senior Counsel — mutually agreed between us and you or, failing agreement within 21 days, nominated by the President of the Bar Association or Bar Council of the State or Territory whose law governs this policy under Section 6.4. The Senior Counsel's determination of a fair and reasonable allocation is binding on us and you.</w:t>
      </w:r>
    </w:p>
    <w:p>
      <w:pPr>
        <w:spacing w:after="160"/>
      </w:pPr>
      <w:r>
        <w:rPr>
          <w:sz w:val="21"/>
          <w:szCs w:val="21"/>
        </w:rPr>
        <w:t xml:space="preserve">Pending an allocation being agreed or determined, we will advance defence costs on a fair and reasonable interim allocation, subject to Section 4.3.</w:t>
      </w:r>
    </w:p>
    <w:p>
      <w:r>
        <w:br w:type="page"/>
      </w:r>
    </w:p>
    <w:p>
      <w:pPr>
        <w:spacing w:after="180" w:before="360"/>
      </w:pPr>
      <w:r>
        <w:rPr>
          <w:b/>
          <w:bCs/>
          <w:sz w:val="27"/>
          <w:szCs w:val="27"/>
        </w:rPr>
        <w:t xml:space="preserve">5 Your Obligations</w:t>
      </w:r>
    </w:p>
    <w:p>
      <w:pPr>
        <w:spacing w:after="160"/>
      </w:pPr>
      <w:r>
        <w:rPr>
          <w:sz w:val="21"/>
          <w:szCs w:val="21"/>
        </w:rPr>
        <w:t xml:space="preserve">These obligations apply subject to Section 6.1 (Insurance Contracts Act 1984 (Cth)) and Section 5.9 (Individual Treatment of Insured Persons).</w:t>
      </w:r>
    </w:p>
    <w:p>
      <w:pPr>
        <w:spacing w:after="120" w:before="240"/>
      </w:pPr>
      <w:r>
        <w:rPr>
          <w:b/>
          <w:bCs/>
          <w:sz w:val="23"/>
          <w:szCs w:val="23"/>
        </w:rPr>
        <w:t xml:space="preserve">5.1 Tell Us About Claims</w:t>
      </w:r>
    </w:p>
    <w:p>
      <w:pPr>
        <w:spacing w:after="160"/>
      </w:pPr>
      <w:r>
        <w:rPr>
          <w:sz w:val="21"/>
          <w:szCs w:val="21"/>
        </w:rPr>
        <w:t xml:space="preserve">You must tell us in writing as soon as reasonably practicable after you become aware that a claim has been made against you. Tell us: (a) who is making the claim and what they allege; (b) when you first became aware; (c) details of the act, error, or omission involved; and (d) your estimate of the potential value if you can.</w:t>
      </w:r>
    </w:p>
    <w:p>
      <w:pPr>
        <w:spacing w:after="120" w:before="240"/>
      </w:pPr>
      <w:r>
        <w:rPr>
          <w:b/>
          <w:bCs/>
          <w:sz w:val="23"/>
          <w:szCs w:val="23"/>
        </w:rPr>
        <w:t xml:space="preserve">5.2 Tell Us About Circumstances</w:t>
      </w:r>
    </w:p>
    <w:p>
      <w:pPr>
        <w:spacing w:after="160"/>
      </w:pPr>
      <w:r>
        <w:rPr>
          <w:sz w:val="21"/>
          <w:szCs w:val="21"/>
        </w:rPr>
        <w:t xml:space="preserve">Tell us during the policy period about any fact, matter, or circumstance you first become aware of that might reasonably be expected to give rise to a claim. This protects you — see Section 2.2.</w:t>
      </w:r>
    </w:p>
    <w:p>
      <w:pPr>
        <w:spacing w:after="160"/>
      </w:pPr>
      <w:r>
        <w:rPr>
          <w:sz w:val="21"/>
          <w:szCs w:val="21"/>
        </w:rPr>
        <w:t xml:space="preserve">Examples: a client has expressed serious dissatisfaction and may seek compensation; you have discovered a significant error in advice you gave; a regulator has contacted you about a formal investigation; you have received a complaint through a professional body.</w:t>
      </w:r>
    </w:p>
    <w:p>
      <w:pPr>
        <w:spacing w:after="120" w:before="240"/>
      </w:pPr>
      <w:r>
        <w:rPr>
          <w:b/>
          <w:bCs/>
          <w:sz w:val="23"/>
          <w:szCs w:val="23"/>
        </w:rPr>
        <w:t xml:space="preserve">5.3 Do Not Admit Liability</w:t>
      </w:r>
    </w:p>
    <w:p>
      <w:pPr>
        <w:spacing w:after="160"/>
      </w:pPr>
      <w:r>
        <w:rPr>
          <w:sz w:val="21"/>
          <w:szCs w:val="21"/>
        </w:rPr>
        <w:t xml:space="preserve">Do not admit liability, make any offer or promise to pay, or agree to settle any claim without our written consent. We will not unreasonably withhold or delay consent.</w:t>
      </w:r>
    </w:p>
    <w:p>
      <w:pPr>
        <w:spacing w:after="120" w:before="240"/>
      </w:pPr>
      <w:r>
        <w:rPr>
          <w:b/>
          <w:bCs/>
          <w:sz w:val="23"/>
          <w:szCs w:val="23"/>
        </w:rPr>
        <w:t xml:space="preserve">5.4 Cooperate With Us</w:t>
      </w:r>
    </w:p>
    <w:p>
      <w:pPr>
        <w:spacing w:after="160"/>
      </w:pPr>
      <w:r>
        <w:rPr>
          <w:sz w:val="21"/>
          <w:szCs w:val="21"/>
        </w:rPr>
        <w:t xml:space="preserve">Give us all information, documents, and assistance we reasonably need to handle the claim. Attend any meetings, examinations, or proceedings we reasonably require.</w:t>
      </w:r>
    </w:p>
    <w:p>
      <w:pPr>
        <w:spacing w:after="120" w:before="240"/>
      </w:pPr>
      <w:r>
        <w:rPr>
          <w:b/>
          <w:bCs/>
          <w:sz w:val="23"/>
          <w:szCs w:val="23"/>
        </w:rPr>
        <w:t xml:space="preserve">5.5 Mitigate Your Loss</w:t>
      </w:r>
    </w:p>
    <w:p>
      <w:pPr>
        <w:spacing w:after="160"/>
      </w:pPr>
      <w:r>
        <w:rPr>
          <w:sz w:val="21"/>
          <w:szCs w:val="21"/>
        </w:rPr>
        <w:t xml:space="preserve">Take all reasonable steps to prevent or reduce any loss that might be covered by this policy.</w:t>
      </w:r>
    </w:p>
    <w:p>
      <w:pPr>
        <w:spacing w:after="120" w:before="240"/>
      </w:pPr>
      <w:r>
        <w:rPr>
          <w:b/>
          <w:bCs/>
          <w:sz w:val="23"/>
          <w:szCs w:val="23"/>
        </w:rPr>
        <w:t xml:space="preserve">5.6 Preserve Our Recovery Rights</w:t>
      </w:r>
    </w:p>
    <w:p>
      <w:pPr>
        <w:spacing w:after="160"/>
      </w:pPr>
      <w:r>
        <w:rPr>
          <w:sz w:val="21"/>
          <w:szCs w:val="21"/>
        </w:rPr>
        <w:t xml:space="preserve">Do not do anything after a claim is made that might prejudice our right to recover from any third party. If we pay a claim, we may take action in your name to recover what we have paid.</w:t>
      </w:r>
    </w:p>
    <w:p>
      <w:pPr>
        <w:spacing w:after="120" w:before="240"/>
      </w:pPr>
      <w:r>
        <w:rPr>
          <w:b/>
          <w:bCs/>
          <w:sz w:val="23"/>
          <w:szCs w:val="23"/>
        </w:rPr>
        <w:t xml:space="preserve">5.7 Tell Us About Other Insurance</w:t>
      </w:r>
    </w:p>
    <w:p>
      <w:pPr>
        <w:spacing w:after="160"/>
      </w:pPr>
      <w:r>
        <w:rPr>
          <w:sz w:val="21"/>
          <w:szCs w:val="21"/>
        </w:rPr>
        <w:t xml:space="preserve">Tell us about any other insurance that might cover the same loss.</w:t>
      </w:r>
    </w:p>
    <w:p>
      <w:pPr>
        <w:spacing w:after="120" w:before="240"/>
      </w:pPr>
      <w:r>
        <w:rPr>
          <w:b/>
          <w:bCs/>
          <w:sz w:val="23"/>
          <w:szCs w:val="23"/>
        </w:rPr>
        <w:t xml:space="preserve">5.8 Tell Us About Changes</w:t>
      </w:r>
    </w:p>
    <w:p>
      <w:pPr>
        <w:spacing w:after="160"/>
      </w:pPr>
      <w:r>
        <w:rPr>
          <w:sz w:val="21"/>
          <w:szCs w:val="21"/>
        </w:rPr>
        <w:t xml:space="preserve">Tell us as soon as reasonably practicable about any material change to your business that might affect this policy — for example, new types of professional services, a merger, or a new subsidiary.</w:t>
      </w:r>
    </w:p>
    <w:p>
      <w:pPr>
        <w:spacing w:after="160"/>
      </w:pPr>
      <w:r>
        <w:rPr>
          <w:sz w:val="21"/>
          <w:szCs w:val="21"/>
        </w:rPr>
        <w:t xml:space="preserve">Under the Insurance Contracts Act 1984 (Cth), we cannot refuse your claim solely because you failed to tell us about a change unless the change caused or contributed to the loss or prejudiced our interests — see also Section 6.1.</w:t>
      </w:r>
    </w:p>
    <w:p>
      <w:pPr>
        <w:spacing w:after="120" w:before="240"/>
      </w:pPr>
      <w:r>
        <w:rPr>
          <w:b/>
          <w:bCs/>
          <w:sz w:val="23"/>
          <w:szCs w:val="23"/>
        </w:rPr>
        <w:t xml:space="preserve">5.9 Individual Treatment of Insured Persons</w:t>
      </w:r>
    </w:p>
    <w:p>
      <w:pPr>
        <w:spacing w:after="160"/>
      </w:pPr>
      <w:r>
        <w:rPr>
          <w:sz w:val="21"/>
          <w:szCs w:val="21"/>
        </w:rPr>
        <w:t xml:space="preserve">Each insured person's cover is assessed individually. A failure by one insured person to comply with Sections 5.1 to 5.6, or any knowledge, act, error, omission, or non-disclosure of one insured person, does not affect the cover of another insured person who did not know of, participate in, or contribute to that failure, knowledge, act, error, omission, or non-disclosure. This section does not affect Section 3.8 (Deliberate and Dishonest Acts) or its Final adjudication and non-imputation mechanics, which continue to apply according to their terms.</w:t>
      </w:r>
    </w:p>
    <w:p>
      <w:pPr>
        <w:spacing w:after="180" w:before="360"/>
      </w:pPr>
      <w:r>
        <w:rPr>
          <w:b/>
          <w:bCs/>
          <w:sz w:val="27"/>
          <w:szCs w:val="27"/>
        </w:rPr>
        <w:t xml:space="preserve">6 General Conditions</w:t>
      </w:r>
    </w:p>
    <w:p>
      <w:pPr>
        <w:spacing w:after="120" w:before="240"/>
      </w:pPr>
      <w:r>
        <w:rPr>
          <w:b/>
          <w:bCs/>
          <w:sz w:val="23"/>
          <w:szCs w:val="23"/>
        </w:rPr>
        <w:t xml:space="preserve">6.1 Insurance Contracts Act 1984 (Cth)</w:t>
      </w:r>
    </w:p>
    <w:p>
      <w:pPr>
        <w:spacing w:after="160"/>
      </w:pPr>
      <w:r>
        <w:rPr>
          <w:sz w:val="21"/>
          <w:szCs w:val="21"/>
        </w:rPr>
        <w:t xml:space="preserve">Nothing in this policy excludes, restricts, or modifies the operation of the Insurance Contracts Act 1984 (Cth) (the </w:t>
      </w:r>
      <w:r>
        <w:rPr>
          <w:b/>
          <w:bCs/>
          <w:sz w:val="21"/>
          <w:szCs w:val="21"/>
        </w:rPr>
        <w:t xml:space="preserve">ICA</w:t>
      </w:r>
      <w:r>
        <w:rPr>
          <w:sz w:val="21"/>
          <w:szCs w:val="21"/>
        </w:rPr>
        <w:t xml:space="preserve">). Where this policy is inconsistent with the ICA, the ICA prevails.</w:t>
      </w:r>
    </w:p>
    <w:p>
      <w:pPr>
        <w:spacing w:after="160"/>
      </w:pPr>
      <w:r>
        <w:rPr>
          <w:sz w:val="21"/>
          <w:szCs w:val="21"/>
        </w:rPr>
        <w:t xml:space="preserve">Without limiting the above, s.54 of the ICA applies to any act or omission by you connected with a claim after it arises, including under Sections 5.1, 5.3, 5.4, 5.5, and 5.6. We may not refuse to pay a claim, or reduce our liability under it, by reason only of such an act or omission, except to the extent (if any) that we are prejudiced by it, or as the ICA otherwise permits in the case of fraud.</w:t>
      </w:r>
    </w:p>
    <w:p>
      <w:pPr>
        <w:spacing w:after="120" w:before="240"/>
      </w:pPr>
      <w:r>
        <w:rPr>
          <w:b/>
          <w:bCs/>
          <w:sz w:val="23"/>
          <w:szCs w:val="23"/>
        </w:rPr>
        <w:t xml:space="preserve">6.2 Your Duty of Disclosure</w:t>
      </w:r>
    </w:p>
    <w:p>
      <w:pPr>
        <w:spacing w:after="160"/>
      </w:pPr>
      <w:r>
        <w:rPr>
          <w:sz w:val="21"/>
          <w:szCs w:val="21"/>
        </w:rPr>
        <w:t xml:space="preserve">Before you enter into, renew, extend, or vary this policy, you have a duty to tell us anything you know (or could reasonably be expected to know) that would be relevant to our decision to insure you and on what terms. This is a non-consumer contract; the duty described in this Section 6.2 is owed to us by the company, as the party proposing this contract.</w:t>
      </w:r>
    </w:p>
    <w:p>
      <w:pPr>
        <w:spacing w:after="160"/>
      </w:pPr>
      <w:r>
        <w:rPr>
          <w:sz w:val="21"/>
          <w:szCs w:val="21"/>
        </w:rPr>
        <w:t xml:space="preserve">You do not need to tell us about matters: (a) that reduce the risk; (b) that are common knowledge; (c) that we know or should know as an insurer; or (d) that we have said we do not need to know.</w:t>
      </w:r>
    </w:p>
    <w:p>
      <w:pPr>
        <w:spacing w:after="160"/>
      </w:pPr>
      <w:r>
        <w:rPr>
          <w:sz w:val="21"/>
          <w:szCs w:val="21"/>
        </w:rPr>
        <w:t xml:space="preserve">If the company does not tell us something it should have, we may, to the extent permitted by the Insurance Contracts Act 1984 (Cth), reduce our liability for a claim proportionately or, where the non-disclosure was fraudulent, avoid this policy. We will not avoid this policy, or reduce the cover of an insured person, because of a non-disclosure by another insured person, unless that insured person seeking cover personally knew of the relevant matter and knew it should have been disclosed. As between us and each insured person, this duty and its consequences are assessed individually — see also Sections 3.8 and 5.9.</w:t>
      </w:r>
    </w:p>
    <w:p>
      <w:pPr>
        <w:spacing w:after="160"/>
      </w:pPr>
      <w:r>
        <w:rPr>
          <w:i/>
          <w:iCs/>
          <w:color w:val="1C1915"/>
          <w:sz w:val="21"/>
          <w:szCs w:val="21"/>
        </w:rPr>
        <w:t xml:space="preserve"/>
      </w:r>
    </w:p>
    <w:p>
      <w:pPr>
        <w:spacing w:after="120" w:before="240"/>
      </w:pPr>
      <w:r>
        <w:rPr>
          <w:b/>
          <w:bCs/>
          <w:sz w:val="23"/>
          <w:szCs w:val="23"/>
        </w:rPr>
        <w:t xml:space="preserve">6.3 Cancellation</w:t>
      </w:r>
    </w:p>
    <w:p>
      <w:pPr>
        <w:spacing w:after="160"/>
      </w:pPr>
      <w:r>
        <w:rPr>
          <w:sz w:val="21"/>
          <w:szCs w:val="21"/>
        </w:rPr>
        <w:t xml:space="preserve">By you: Cancel at any time by telling us in writing. We will refund the premium for the unexpired policy period, less any amount paid or reserved for claims.</w:t>
      </w:r>
    </w:p>
    <w:p>
      <w:pPr>
        <w:spacing w:after="160"/>
      </w:pPr>
      <w:r>
        <w:rPr>
          <w:sz w:val="21"/>
          <w:szCs w:val="21"/>
        </w:rPr>
        <w:t xml:space="preserve">By us: We may only cancel this policy on grounds permitted by the Insurance Contracts Act 1984 (Cth) s.60. Where we are entitled to cancel, we will give you written notice as required by s.59, and will refund the premium for the unexpired portion proportionally.</w:t>
      </w:r>
    </w:p>
    <w:p>
      <w:pPr>
        <w:spacing w:after="120" w:before="240"/>
      </w:pPr>
      <w:r>
        <w:rPr>
          <w:b/>
          <w:bCs/>
          <w:sz w:val="23"/>
          <w:szCs w:val="23"/>
        </w:rPr>
        <w:t xml:space="preserve">6.4 Governing Law</w:t>
      </w:r>
    </w:p>
    <w:p>
      <w:pPr>
        <w:spacing w:after="160"/>
      </w:pPr>
      <w:r>
        <w:rPr>
          <w:sz w:val="21"/>
          <w:szCs w:val="21"/>
        </w:rPr>
        <w:t xml:space="preserve">This policy is governed by the laws of the state or territory of Australia in which the named insured has its principal place of business, as shown in the schedule.</w:t>
      </w:r>
    </w:p>
    <w:p>
      <w:pPr>
        <w:spacing w:after="120" w:before="240"/>
      </w:pPr>
      <w:r>
        <w:rPr>
          <w:b/>
          <w:bCs/>
          <w:sz w:val="23"/>
          <w:szCs w:val="23"/>
        </w:rPr>
        <w:t xml:space="preserve">6.5 Jurisdiction</w:t>
      </w:r>
    </w:p>
    <w:p>
      <w:pPr>
        <w:spacing w:after="160"/>
      </w:pPr>
      <w:r>
        <w:rPr>
          <w:sz w:val="21"/>
          <w:szCs w:val="21"/>
        </w:rPr>
        <w:t xml:space="preserve">You and we submit to the non-exclusive jurisdiction of the courts of the State or Territory whose law governs this policy under Section 6.4, and the courts that hear appeals from those courts.</w:t>
      </w:r>
    </w:p>
    <w:p>
      <w:pPr>
        <w:spacing w:after="160"/>
      </w:pPr>
      <w:r>
        <w:rPr>
          <w:i/>
          <w:iCs/>
          <w:color w:val="1C1915"/>
          <w:sz w:val="21"/>
          <w:szCs w:val="21"/>
        </w:rPr>
        <w:t xml:space="preserve"/>
      </w:r>
    </w:p>
    <w:p>
      <w:pPr>
        <w:spacing w:after="120" w:before="240"/>
      </w:pPr>
      <w:r>
        <w:rPr>
          <w:b/>
          <w:bCs/>
          <w:sz w:val="23"/>
          <w:szCs w:val="23"/>
        </w:rPr>
        <w:t xml:space="preserve">6.6 GST</w:t>
      </w:r>
    </w:p>
    <w:p>
      <w:pPr>
        <w:spacing w:after="160"/>
      </w:pPr>
      <w:r>
        <w:rPr>
          <w:sz w:val="21"/>
          <w:szCs w:val="21"/>
        </w:rPr>
        <w:t xml:space="preserve">Tell us the extent of any input tax credit you are entitled to claim for the premium. If you do not, we will assume you are entitled to a full input tax credit.</w:t>
      </w:r>
    </w:p>
    <w:p>
      <w:pPr>
        <w:spacing w:after="160"/>
      </w:pPr>
      <w:r>
        <w:rPr>
          <w:sz w:val="21"/>
          <w:szCs w:val="21"/>
        </w:rPr>
        <w:t xml:space="preserve">When we pay a claim, we will reduce our payment by any input tax credit you are entitled to for that payment, as required by the A New Tax System (Goods and Services Tax) Act 1999 (Cth).</w:t>
      </w:r>
    </w:p>
    <w:p>
      <w:pPr>
        <w:spacing w:after="120" w:before="240"/>
      </w:pPr>
      <w:r>
        <w:rPr>
          <w:b/>
          <w:bCs/>
          <w:sz w:val="23"/>
          <w:szCs w:val="23"/>
        </w:rPr>
        <w:t xml:space="preserve">6.7 Several Liability</w:t>
      </w:r>
    </w:p>
    <w:p>
      <w:pPr>
        <w:spacing w:after="160"/>
      </w:pPr>
      <w:r>
        <w:rPr>
          <w:sz w:val="21"/>
          <w:szCs w:val="21"/>
        </w:rPr>
        <w:t xml:space="preserve">If more than one insurer is shown in the schedule, each is responsible only for its own share. One insurer's share is not increased by the failure of another to pay.</w:t>
      </w:r>
    </w:p>
    <w:p>
      <w:pPr>
        <w:spacing w:after="120" w:before="240"/>
      </w:pPr>
      <w:r>
        <w:rPr>
          <w:b/>
          <w:bCs/>
          <w:sz w:val="23"/>
          <w:szCs w:val="23"/>
        </w:rPr>
        <w:t xml:space="preserve">6.8 Assignment</w:t>
      </w:r>
    </w:p>
    <w:p>
      <w:pPr>
        <w:spacing w:after="160"/>
      </w:pPr>
      <w:r>
        <w:rPr>
          <w:sz w:val="21"/>
          <w:szCs w:val="21"/>
        </w:rPr>
        <w:t xml:space="preserve">You cannot transfer this policy to another person or entity without our prior written consent.</w:t>
      </w:r>
    </w:p>
    <w:p>
      <w:pPr>
        <w:spacing w:after="120" w:before="240"/>
      </w:pPr>
      <w:r>
        <w:rPr>
          <w:b/>
          <w:bCs/>
          <w:sz w:val="23"/>
          <w:szCs w:val="23"/>
        </w:rPr>
        <w:t xml:space="preserve">6.9 Entire Agreement</w:t>
      </w:r>
    </w:p>
    <w:p>
      <w:pPr>
        <w:spacing w:after="160"/>
      </w:pPr>
      <w:r>
        <w:rPr>
          <w:sz w:val="21"/>
          <w:szCs w:val="21"/>
        </w:rPr>
        <w:t xml:space="preserve">This policy, the schedule, and any endorsements form the entire agreement between you and us about this insurance. No one has authority to change this policy unless the change is recorded in an endorsement.</w:t>
      </w:r>
    </w:p>
    <w:p>
      <w:pPr>
        <w:spacing w:after="120" w:before="240"/>
      </w:pPr>
      <w:r>
        <w:rPr>
          <w:b/>
          <w:bCs/>
          <w:sz w:val="23"/>
          <w:szCs w:val="23"/>
        </w:rPr>
        <w:t xml:space="preserve">6.10 Disputes and Complaints</w:t>
      </w:r>
    </w:p>
    <w:p>
      <w:pPr>
        <w:spacing w:after="160"/>
      </w:pPr>
      <w:r>
        <w:rPr>
          <w:sz w:val="21"/>
          <w:szCs w:val="21"/>
        </w:rPr>
        <w:t xml:space="preserve">If you are unhappy with a decision, please contact us. We will follow our internal dispute resolution process and try to resolve the matter within 30 days.</w:t>
      </w:r>
    </w:p>
    <w:p>
      <w:pPr>
        <w:spacing w:after="160"/>
      </w:pPr>
      <w:r>
        <w:rPr>
          <w:sz w:val="21"/>
          <w:szCs w:val="21"/>
        </w:rPr>
        <w:t xml:space="preserve">If you are not satisfied, you can refer the matter to the Australian Financial Complaints Authority (AFCA) — www.afca.org.au | info@afca.org.au | 1800 931 678. AFCA provides a free and independent dispute resolution service. Time limits may apply.</w:t>
      </w:r>
    </w:p>
    <w:p>
      <w:pPr>
        <w:spacing w:after="120" w:before="240"/>
      </w:pPr>
      <w:r>
        <w:rPr>
          <w:b/>
          <w:bCs/>
          <w:sz w:val="23"/>
          <w:szCs w:val="23"/>
        </w:rPr>
        <w:t xml:space="preserve">6.11 Privacy</w:t>
      </w:r>
    </w:p>
    <w:p>
      <w:pPr>
        <w:spacing w:after="160"/>
      </w:pPr>
      <w:r>
        <w:rPr>
          <w:sz w:val="21"/>
          <w:szCs w:val="21"/>
        </w:rPr>
        <w:t xml:space="preserve">We collect your personal information to assess your application, administer your policy, and handle claims, in accordance with the Privacy Act 1988 (Cth) and the Australian Privacy Principles. Our Privacy Policy is available on our website and on request.</w:t>
      </w:r>
    </w:p>
    <w:p>
      <w:r>
        <w:br w:type="page"/>
      </w:r>
    </w:p>
    <w:p>
      <w:pPr>
        <w:spacing w:after="180" w:before="360"/>
      </w:pPr>
      <w:r>
        <w:rPr>
          <w:b/>
          <w:bCs/>
          <w:sz w:val="27"/>
          <w:szCs w:val="27"/>
        </w:rPr>
        <w:t xml:space="preserve">7 How to Make a Claim</w:t>
      </w:r>
    </w:p>
    <w:tbl>
      <w:tblPr>
        <w:tblW w:type="dxa" w:w="9350"/>
        <w:tblBorders>
          <w:top w:val="single" w:color="E2D9C8" w:sz="2"/>
          <w:left w:val="single" w:color="E2D9C8" w:sz="2"/>
          <w:bottom w:val="single" w:color="E2D9C8" w:sz="2"/>
          <w:right w:val="single" w:color="E2D9C8" w:sz="2"/>
          <w:insideH w:val="single" w:color="E2D9C8" w:sz="2"/>
          <w:insideV w:val="single" w:color="E2D9C8" w:sz="2"/>
        </w:tblBorders>
      </w:tblPr>
      <w:tblGrid>
        <w:gridCol w:w="1600"/>
        <w:gridCol w:w="7750"/>
      </w:tblGrid>
      <w:tr>
        <w:tc>
          <w:tcPr>
            <w:tcW w:type="dxa" w:w="1600"/>
            <w:shd w:fill="E2D9C8" w:val="clear"/>
            <w:tcMar>
              <w:top w:type="dxa" w:w="100"/>
              <w:left w:type="dxa" w:w="120"/>
              <w:bottom w:type="dxa" w:w="100"/>
              <w:right w:type="dxa" w:w="120"/>
            </w:tcMar>
            <w:vAlign w:val="top"/>
          </w:tcPr>
          <w:p>
            <w:pPr>
              <w:spacing w:after="0"/>
            </w:pPr>
            <w:r>
              <w:rPr>
                <w:b/>
                <w:bCs/>
                <w:sz w:val="20"/>
                <w:szCs w:val="20"/>
              </w:rPr>
              <w:t xml:space="preserve">Step</w:t>
            </w:r>
          </w:p>
        </w:tc>
        <w:tc>
          <w:tcPr>
            <w:tcW w:type="dxa" w:w="7750"/>
            <w:shd w:fill="E2D9C8" w:val="clear"/>
            <w:tcMar>
              <w:top w:type="dxa" w:w="100"/>
              <w:left w:type="dxa" w:w="120"/>
              <w:bottom w:type="dxa" w:w="100"/>
              <w:right w:type="dxa" w:w="120"/>
            </w:tcMar>
            <w:vAlign w:val="top"/>
          </w:tcPr>
          <w:p>
            <w:pPr>
              <w:spacing w:after="0"/>
            </w:pPr>
          </w:p>
        </w:tc>
      </w:tr>
      <w:tr>
        <w:tc>
          <w:tcPr>
            <w:tcW w:type="dxa" w:w="1600"/>
            <w:tcMar>
              <w:top w:type="dxa" w:w="100"/>
              <w:left w:type="dxa" w:w="120"/>
              <w:bottom w:type="dxa" w:w="100"/>
              <w:right w:type="dxa" w:w="120"/>
            </w:tcMar>
            <w:vAlign w:val="top"/>
          </w:tcPr>
          <w:p>
            <w:pPr>
              <w:spacing w:after="0"/>
            </w:pPr>
            <w:r>
              <w:rPr>
                <w:sz w:val="20"/>
                <w:szCs w:val="20"/>
              </w:rPr>
              <w:t xml:space="preserve">Step 1</w:t>
            </w:r>
          </w:p>
        </w:tc>
        <w:tc>
          <w:tcPr>
            <w:tcW w:type="dxa" w:w="7750"/>
            <w:tcMar>
              <w:top w:type="dxa" w:w="100"/>
              <w:left w:type="dxa" w:w="120"/>
              <w:bottom w:type="dxa" w:w="100"/>
              <w:right w:type="dxa" w:w="120"/>
            </w:tcMar>
            <w:vAlign w:val="top"/>
          </w:tcPr>
          <w:p>
            <w:pPr>
              <w:spacing w:after="60"/>
            </w:pPr>
            <w:r>
              <w:rPr>
                <w:sz w:val="20"/>
                <w:szCs w:val="20"/>
              </w:rPr>
              <w:t xml:space="preserve">Contact your broker or contact us directly at the details shown in the schedule.</w:t>
            </w:r>
          </w:p>
        </w:tc>
      </w:tr>
      <w:tr>
        <w:tc>
          <w:tcPr>
            <w:tcW w:type="dxa" w:w="1600"/>
            <w:tcMar>
              <w:top w:type="dxa" w:w="100"/>
              <w:left w:type="dxa" w:w="120"/>
              <w:bottom w:type="dxa" w:w="100"/>
              <w:right w:type="dxa" w:w="120"/>
            </w:tcMar>
            <w:vAlign w:val="top"/>
          </w:tcPr>
          <w:p>
            <w:pPr>
              <w:spacing w:after="0"/>
            </w:pPr>
            <w:r>
              <w:rPr>
                <w:sz w:val="20"/>
                <w:szCs w:val="20"/>
              </w:rPr>
              <w:t xml:space="preserve">Step 2</w:t>
            </w:r>
          </w:p>
        </w:tc>
        <w:tc>
          <w:tcPr>
            <w:tcW w:type="dxa" w:w="7750"/>
            <w:tcMar>
              <w:top w:type="dxa" w:w="100"/>
              <w:left w:type="dxa" w:w="120"/>
              <w:bottom w:type="dxa" w:w="100"/>
              <w:right w:type="dxa" w:w="120"/>
            </w:tcMar>
            <w:vAlign w:val="top"/>
          </w:tcPr>
          <w:p>
            <w:pPr>
              <w:spacing w:after="60"/>
            </w:pPr>
            <w:r>
              <w:rPr>
                <w:sz w:val="20"/>
                <w:szCs w:val="20"/>
              </w:rPr>
              <w:t xml:space="preserve">Provide written details of the claim or circumstance — see Sections 5.1 and 5.2 for what to include.</w:t>
            </w:r>
          </w:p>
        </w:tc>
      </w:tr>
      <w:tr>
        <w:tc>
          <w:tcPr>
            <w:tcW w:type="dxa" w:w="1600"/>
            <w:tcMar>
              <w:top w:type="dxa" w:w="100"/>
              <w:left w:type="dxa" w:w="120"/>
              <w:bottom w:type="dxa" w:w="100"/>
              <w:right w:type="dxa" w:w="120"/>
            </w:tcMar>
            <w:vAlign w:val="top"/>
          </w:tcPr>
          <w:p>
            <w:pPr>
              <w:spacing w:after="0"/>
            </w:pPr>
            <w:r>
              <w:rPr>
                <w:sz w:val="20"/>
                <w:szCs w:val="20"/>
              </w:rPr>
              <w:t xml:space="preserve">Step 3</w:t>
            </w:r>
          </w:p>
        </w:tc>
        <w:tc>
          <w:tcPr>
            <w:tcW w:type="dxa" w:w="7750"/>
            <w:tcMar>
              <w:top w:type="dxa" w:w="100"/>
              <w:left w:type="dxa" w:w="120"/>
              <w:bottom w:type="dxa" w:w="100"/>
              <w:right w:type="dxa" w:w="120"/>
            </w:tcMar>
            <w:vAlign w:val="top"/>
          </w:tcPr>
          <w:p>
            <w:pPr>
              <w:spacing w:after="60"/>
            </w:pPr>
            <w:r>
              <w:rPr>
                <w:sz w:val="20"/>
                <w:szCs w:val="20"/>
              </w:rPr>
              <w:t xml:space="preserve">We will acknowledge your notification and assign a claims manager.</w:t>
            </w:r>
          </w:p>
        </w:tc>
      </w:tr>
      <w:tr>
        <w:tc>
          <w:tcPr>
            <w:tcW w:type="dxa" w:w="1600"/>
            <w:tcMar>
              <w:top w:type="dxa" w:w="100"/>
              <w:left w:type="dxa" w:w="120"/>
              <w:bottom w:type="dxa" w:w="100"/>
              <w:right w:type="dxa" w:w="120"/>
            </w:tcMar>
            <w:vAlign w:val="top"/>
          </w:tcPr>
          <w:p>
            <w:pPr>
              <w:spacing w:after="0"/>
            </w:pPr>
            <w:r>
              <w:rPr>
                <w:sz w:val="20"/>
                <w:szCs w:val="20"/>
              </w:rPr>
              <w:t xml:space="preserve">Step 4</w:t>
            </w:r>
          </w:p>
        </w:tc>
        <w:tc>
          <w:tcPr>
            <w:tcW w:type="dxa" w:w="7750"/>
            <w:tcMar>
              <w:top w:type="dxa" w:w="100"/>
              <w:left w:type="dxa" w:w="120"/>
              <w:bottom w:type="dxa" w:w="100"/>
              <w:right w:type="dxa" w:w="120"/>
            </w:tcMar>
            <w:vAlign w:val="top"/>
          </w:tcPr>
          <w:p>
            <w:pPr>
              <w:spacing w:after="60"/>
            </w:pPr>
            <w:r>
              <w:rPr>
                <w:sz w:val="20"/>
                <w:szCs w:val="20"/>
              </w:rPr>
              <w:t xml:space="preserve">We will work with you to investigate and manage the claim and keep you informed of progress.</w:t>
            </w:r>
          </w:p>
        </w:tc>
      </w:tr>
      <w:tr>
        <w:tc>
          <w:tcPr>
            <w:tcW w:type="dxa" w:w="1600"/>
            <w:tcMar>
              <w:top w:type="dxa" w:w="100"/>
              <w:left w:type="dxa" w:w="120"/>
              <w:bottom w:type="dxa" w:w="100"/>
              <w:right w:type="dxa" w:w="120"/>
            </w:tcMar>
            <w:vAlign w:val="top"/>
          </w:tcPr>
          <w:p>
            <w:pPr>
              <w:spacing w:after="0"/>
            </w:pPr>
            <w:r>
              <w:rPr>
                <w:sz w:val="20"/>
                <w:szCs w:val="20"/>
              </w:rPr>
              <w:t xml:space="preserve">Step 5</w:t>
            </w:r>
          </w:p>
        </w:tc>
        <w:tc>
          <w:tcPr>
            <w:tcW w:type="dxa" w:w="7750"/>
            <w:tcMar>
              <w:top w:type="dxa" w:w="100"/>
              <w:left w:type="dxa" w:w="120"/>
              <w:bottom w:type="dxa" w:w="100"/>
              <w:right w:type="dxa" w:w="120"/>
            </w:tcMar>
            <w:vAlign w:val="top"/>
          </w:tcPr>
          <w:p>
            <w:pPr>
              <w:spacing w:after="60"/>
            </w:pPr>
            <w:r>
              <w:rPr>
                <w:sz w:val="20"/>
                <w:szCs w:val="20"/>
              </w:rPr>
              <w:t xml:space="preserve">Do not admit liability or agree to any settlement without our written consent — see Section 5.3.</w:t>
            </w:r>
          </w:p>
        </w:tc>
      </w:tr>
    </w:tbl>
    <w:p>
      <w:pPr>
        <w:spacing w:after="180" w:before="360"/>
      </w:pPr>
      <w:r>
        <w:rPr>
          <w:b/>
          <w:bCs/>
          <w:sz w:val="27"/>
          <w:szCs w:val="27"/>
        </w:rPr>
        <w:t xml:space="preserve"> Endorsement Library</w:t>
      </w:r>
    </w:p>
    <w:p>
      <w:pPr>
        <w:spacing w:after="160"/>
      </w:pPr>
      <w:r>
        <w:rPr>
          <w:sz w:val="21"/>
          <w:szCs w:val="21"/>
        </w:rPr>
        <w:t xml:space="preserve">The following endorsements are available and may be attached to this policy as shown in the schedule.</w:t>
      </w:r>
    </w:p>
    <w:tbl>
      <w:tblPr>
        <w:tblW w:type="dxa" w:w="9350"/>
        <w:tblBorders>
          <w:top w:val="single" w:color="E2D9C8" w:sz="2"/>
          <w:left w:val="single" w:color="E2D9C8" w:sz="2"/>
          <w:bottom w:val="single" w:color="E2D9C8" w:sz="2"/>
          <w:right w:val="single" w:color="E2D9C8" w:sz="2"/>
          <w:insideH w:val="single" w:color="E2D9C8" w:sz="2"/>
          <w:insideV w:val="single" w:color="E2D9C8" w:sz="2"/>
        </w:tblBorders>
      </w:tblPr>
      <w:tblGrid>
        <w:gridCol w:w="1200"/>
        <w:gridCol w:w="8150"/>
      </w:tblGrid>
      <w:tr>
        <w:tc>
          <w:tcPr>
            <w:tcW w:type="dxa" w:w="1200"/>
            <w:shd w:fill="E2D9C8" w:val="clear"/>
            <w:tcMar>
              <w:top w:type="dxa" w:w="100"/>
              <w:left w:type="dxa" w:w="120"/>
              <w:bottom w:type="dxa" w:w="100"/>
              <w:right w:type="dxa" w:w="120"/>
            </w:tcMar>
            <w:vAlign w:val="top"/>
          </w:tcPr>
          <w:p>
            <w:pPr>
              <w:spacing w:after="0"/>
            </w:pPr>
            <w:r>
              <w:rPr>
                <w:b/>
                <w:bCs/>
                <w:sz w:val="20"/>
                <w:szCs w:val="20"/>
              </w:rPr>
              <w:t xml:space="preserve">Code</w:t>
            </w:r>
          </w:p>
        </w:tc>
        <w:tc>
          <w:tcPr>
            <w:tcW w:type="dxa" w:w="8150"/>
            <w:shd w:fill="E2D9C8" w:val="clear"/>
            <w:tcMar>
              <w:top w:type="dxa" w:w="100"/>
              <w:left w:type="dxa" w:w="120"/>
              <w:bottom w:type="dxa" w:w="100"/>
              <w:right w:type="dxa" w:w="120"/>
            </w:tcMar>
            <w:vAlign w:val="top"/>
          </w:tcPr>
          <w:p>
            <w:pPr>
              <w:spacing w:after="0"/>
            </w:pPr>
          </w:p>
        </w:tc>
      </w:tr>
      <w:tr>
        <w:tc>
          <w:tcPr>
            <w:tcW w:type="dxa" w:w="1200"/>
            <w:tcMar>
              <w:top w:type="dxa" w:w="100"/>
              <w:left w:type="dxa" w:w="120"/>
              <w:bottom w:type="dxa" w:w="100"/>
              <w:right w:type="dxa" w:w="120"/>
            </w:tcMar>
            <w:vAlign w:val="top"/>
          </w:tcPr>
          <w:p>
            <w:pPr>
              <w:spacing w:after="0"/>
            </w:pPr>
            <w:r>
              <w:rPr>
                <w:sz w:val="20"/>
                <w:szCs w:val="20"/>
              </w:rPr>
              <w:t xml:space="preserve">E01</w:t>
            </w:r>
          </w:p>
        </w:tc>
        <w:tc>
          <w:tcPr>
            <w:tcW w:type="dxa" w:w="8150"/>
            <w:tcMar>
              <w:top w:type="dxa" w:w="100"/>
              <w:left w:type="dxa" w:w="120"/>
              <w:bottom w:type="dxa" w:w="100"/>
              <w:right w:type="dxa" w:w="120"/>
            </w:tcMar>
            <w:vAlign w:val="top"/>
          </w:tcPr>
          <w:p>
            <w:pPr>
              <w:spacing w:after="60"/>
            </w:pPr>
            <w:r>
              <w:rPr>
                <w:sz w:val="20"/>
                <w:szCs w:val="20"/>
              </w:rPr>
              <w:t xml:space="preserve">Run-off extension — quotation-basis extension of run-off cover, for a period requested by you of up to 84 months after the end of the policy period following permanent cessation of practice, offered at our discretion (see Section 2.4.12); premium and terms as shown in the schedule or endorsement schedule if offered and accepted</w:t>
            </w:r>
          </w:p>
        </w:tc>
      </w:tr>
      <w:tr>
        <w:tc>
          <w:tcPr>
            <w:tcW w:type="dxa" w:w="1200"/>
            <w:tcMar>
              <w:top w:type="dxa" w:w="100"/>
              <w:left w:type="dxa" w:w="120"/>
              <w:bottom w:type="dxa" w:w="100"/>
              <w:right w:type="dxa" w:w="120"/>
            </w:tcMar>
            <w:vAlign w:val="top"/>
          </w:tcPr>
          <w:p>
            <w:pPr>
              <w:spacing w:after="0"/>
            </w:pPr>
            <w:r>
              <w:rPr>
                <w:sz w:val="20"/>
                <w:szCs w:val="20"/>
              </w:rPr>
              <w:t xml:space="preserve">E02</w:t>
            </w:r>
          </w:p>
        </w:tc>
        <w:tc>
          <w:tcPr>
            <w:tcW w:type="dxa" w:w="8150"/>
            <w:tcMar>
              <w:top w:type="dxa" w:w="100"/>
              <w:left w:type="dxa" w:w="120"/>
              <w:bottom w:type="dxa" w:w="100"/>
              <w:right w:type="dxa" w:w="120"/>
            </w:tcMar>
            <w:vAlign w:val="top"/>
          </w:tcPr>
          <w:p>
            <w:pPr>
              <w:spacing w:after="60"/>
            </w:pPr>
            <w:r>
              <w:rPr>
                <w:sz w:val="20"/>
                <w:szCs w:val="20"/>
              </w:rPr>
              <w:t xml:space="preserve">Defence costs in addition to the limit of liability</w:t>
            </w:r>
          </w:p>
        </w:tc>
      </w:tr>
      <w:tr>
        <w:tc>
          <w:tcPr>
            <w:tcW w:type="dxa" w:w="1200"/>
            <w:tcMar>
              <w:top w:type="dxa" w:w="100"/>
              <w:left w:type="dxa" w:w="120"/>
              <w:bottom w:type="dxa" w:w="100"/>
              <w:right w:type="dxa" w:w="120"/>
            </w:tcMar>
            <w:vAlign w:val="top"/>
          </w:tcPr>
          <w:p>
            <w:pPr>
              <w:spacing w:after="0"/>
            </w:pPr>
            <w:r>
              <w:rPr>
                <w:sz w:val="20"/>
                <w:szCs w:val="20"/>
              </w:rPr>
              <w:t xml:space="preserve">E03</w:t>
            </w:r>
          </w:p>
        </w:tc>
        <w:tc>
          <w:tcPr>
            <w:tcW w:type="dxa" w:w="8150"/>
            <w:tcMar>
              <w:top w:type="dxa" w:w="100"/>
              <w:left w:type="dxa" w:w="120"/>
              <w:bottom w:type="dxa" w:w="100"/>
              <w:right w:type="dxa" w:w="120"/>
            </w:tcMar>
            <w:vAlign w:val="top"/>
          </w:tcPr>
          <w:p>
            <w:pPr>
              <w:spacing w:after="60"/>
            </w:pPr>
            <w:r>
              <w:rPr>
                <w:sz w:val="20"/>
                <w:szCs w:val="20"/>
              </w:rPr>
              <w:t xml:space="preserve">Occupation-specific variations (by profession)</w:t>
            </w:r>
          </w:p>
        </w:tc>
      </w:tr>
      <w:tr>
        <w:tc>
          <w:tcPr>
            <w:tcW w:type="dxa" w:w="1200"/>
            <w:tcMar>
              <w:top w:type="dxa" w:w="100"/>
              <w:left w:type="dxa" w:w="120"/>
              <w:bottom w:type="dxa" w:w="100"/>
              <w:right w:type="dxa" w:w="120"/>
            </w:tcMar>
            <w:vAlign w:val="top"/>
          </w:tcPr>
          <w:p>
            <w:pPr>
              <w:spacing w:after="0"/>
            </w:pPr>
            <w:r>
              <w:rPr>
                <w:sz w:val="20"/>
                <w:szCs w:val="20"/>
              </w:rPr>
              <w:t xml:space="preserve">E04</w:t>
            </w:r>
          </w:p>
        </w:tc>
        <w:tc>
          <w:tcPr>
            <w:tcW w:type="dxa" w:w="8150"/>
            <w:tcMar>
              <w:top w:type="dxa" w:w="100"/>
              <w:left w:type="dxa" w:w="120"/>
              <w:bottom w:type="dxa" w:w="100"/>
              <w:right w:type="dxa" w:w="120"/>
            </w:tcMar>
            <w:vAlign w:val="top"/>
          </w:tcPr>
          <w:p>
            <w:pPr>
              <w:spacing w:after="60"/>
            </w:pPr>
            <w:r>
              <w:rPr>
                <w:sz w:val="20"/>
                <w:szCs w:val="20"/>
              </w:rPr>
              <w:t xml:space="preserve">Contractual liability buy-back</w:t>
            </w:r>
          </w:p>
        </w:tc>
      </w:tr>
      <w:tr>
        <w:tc>
          <w:tcPr>
            <w:tcW w:type="dxa" w:w="1200"/>
            <w:tcMar>
              <w:top w:type="dxa" w:w="100"/>
              <w:left w:type="dxa" w:w="120"/>
              <w:bottom w:type="dxa" w:w="100"/>
              <w:right w:type="dxa" w:w="120"/>
            </w:tcMar>
            <w:vAlign w:val="top"/>
          </w:tcPr>
          <w:p>
            <w:pPr>
              <w:spacing w:after="0"/>
            </w:pPr>
            <w:r>
              <w:rPr>
                <w:sz w:val="20"/>
                <w:szCs w:val="20"/>
              </w:rPr>
              <w:t xml:space="preserve">E05</w:t>
            </w:r>
          </w:p>
        </w:tc>
        <w:tc>
          <w:tcPr>
            <w:tcW w:type="dxa" w:w="8150"/>
            <w:tcMar>
              <w:top w:type="dxa" w:w="100"/>
              <w:left w:type="dxa" w:w="120"/>
              <w:bottom w:type="dxa" w:w="100"/>
              <w:right w:type="dxa" w:w="120"/>
            </w:tcMar>
            <w:vAlign w:val="top"/>
          </w:tcPr>
          <w:p>
            <w:pPr>
              <w:spacing w:after="60"/>
            </w:pPr>
            <w:r>
              <w:rPr>
                <w:sz w:val="20"/>
                <w:szCs w:val="20"/>
              </w:rPr>
              <w:t xml:space="preserve">Pollution liability buy-back (sudden and accidental)</w:t>
            </w:r>
          </w:p>
        </w:tc>
      </w:tr>
      <w:tr>
        <w:tc>
          <w:tcPr>
            <w:tcW w:type="dxa" w:w="1200"/>
            <w:tcMar>
              <w:top w:type="dxa" w:w="100"/>
              <w:left w:type="dxa" w:w="120"/>
              <w:bottom w:type="dxa" w:w="100"/>
              <w:right w:type="dxa" w:w="120"/>
            </w:tcMar>
            <w:vAlign w:val="top"/>
          </w:tcPr>
          <w:p>
            <w:pPr>
              <w:spacing w:after="0"/>
            </w:pPr>
            <w:r>
              <w:rPr>
                <w:sz w:val="20"/>
                <w:szCs w:val="20"/>
              </w:rPr>
              <w:t xml:space="preserve">E06</w:t>
            </w:r>
          </w:p>
        </w:tc>
        <w:tc>
          <w:tcPr>
            <w:tcW w:type="dxa" w:w="8150"/>
            <w:tcMar>
              <w:top w:type="dxa" w:w="100"/>
              <w:left w:type="dxa" w:w="120"/>
              <w:bottom w:type="dxa" w:w="100"/>
              <w:right w:type="dxa" w:w="120"/>
            </w:tcMar>
            <w:vAlign w:val="top"/>
          </w:tcPr>
          <w:p>
            <w:pPr>
              <w:spacing w:after="60"/>
            </w:pPr>
            <w:r>
              <w:rPr>
                <w:sz w:val="20"/>
                <w:szCs w:val="20"/>
              </w:rPr>
              <w:t xml:space="preserve">United States / Canada jurisdiction extension</w:t>
            </w:r>
          </w:p>
        </w:tc>
      </w:tr>
      <w:tr>
        <w:tc>
          <w:tcPr>
            <w:tcW w:type="dxa" w:w="1200"/>
            <w:tcMar>
              <w:top w:type="dxa" w:w="100"/>
              <w:left w:type="dxa" w:w="120"/>
              <w:bottom w:type="dxa" w:w="100"/>
              <w:right w:type="dxa" w:w="120"/>
            </w:tcMar>
            <w:vAlign w:val="top"/>
          </w:tcPr>
          <w:p>
            <w:pPr>
              <w:spacing w:after="0"/>
            </w:pPr>
            <w:r>
              <w:rPr>
                <w:sz w:val="20"/>
                <w:szCs w:val="20"/>
              </w:rPr>
              <w:t xml:space="preserve">E07</w:t>
            </w:r>
          </w:p>
        </w:tc>
        <w:tc>
          <w:tcPr>
            <w:tcW w:type="dxa" w:w="8150"/>
            <w:tcMar>
              <w:top w:type="dxa" w:w="100"/>
              <w:left w:type="dxa" w:w="120"/>
              <w:bottom w:type="dxa" w:w="100"/>
              <w:right w:type="dxa" w:w="120"/>
            </w:tcMar>
            <w:vAlign w:val="top"/>
          </w:tcPr>
          <w:p>
            <w:pPr>
              <w:spacing w:after="60"/>
            </w:pPr>
            <w:r>
              <w:rPr>
                <w:sz w:val="20"/>
                <w:szCs w:val="20"/>
              </w:rPr>
              <w:t xml:space="preserve">Increased sub-limits</w:t>
            </w:r>
          </w:p>
        </w:tc>
      </w:tr>
      <w:tr>
        <w:tc>
          <w:tcPr>
            <w:tcW w:type="dxa" w:w="1200"/>
            <w:tcMar>
              <w:top w:type="dxa" w:w="100"/>
              <w:left w:type="dxa" w:w="120"/>
              <w:bottom w:type="dxa" w:w="100"/>
              <w:right w:type="dxa" w:w="120"/>
            </w:tcMar>
            <w:vAlign w:val="top"/>
          </w:tcPr>
          <w:p>
            <w:pPr>
              <w:spacing w:after="0"/>
            </w:pPr>
            <w:r>
              <w:rPr>
                <w:sz w:val="20"/>
                <w:szCs w:val="20"/>
              </w:rPr>
              <w:t xml:space="preserve">E08</w:t>
            </w:r>
          </w:p>
        </w:tc>
        <w:tc>
          <w:tcPr>
            <w:tcW w:type="dxa" w:w="8150"/>
            <w:tcMar>
              <w:top w:type="dxa" w:w="100"/>
              <w:left w:type="dxa" w:w="120"/>
              <w:bottom w:type="dxa" w:w="100"/>
              <w:right w:type="dxa" w:w="120"/>
            </w:tcMar>
            <w:vAlign w:val="top"/>
          </w:tcPr>
          <w:p>
            <w:pPr>
              <w:spacing w:after="60"/>
            </w:pPr>
            <w:r>
              <w:rPr>
                <w:sz w:val="20"/>
                <w:szCs w:val="20"/>
              </w:rPr>
              <w:t xml:space="preserve">Aggregate limit reinstatement</w:t>
            </w:r>
          </w:p>
        </w:tc>
      </w:tr>
      <w:tr>
        <w:tc>
          <w:tcPr>
            <w:tcW w:type="dxa" w:w="1200"/>
            <w:tcMar>
              <w:top w:type="dxa" w:w="100"/>
              <w:left w:type="dxa" w:w="120"/>
              <w:bottom w:type="dxa" w:w="100"/>
              <w:right w:type="dxa" w:w="120"/>
            </w:tcMar>
            <w:vAlign w:val="top"/>
          </w:tcPr>
          <w:p>
            <w:pPr>
              <w:spacing w:after="0"/>
            </w:pPr>
            <w:r>
              <w:rPr>
                <w:sz w:val="20"/>
                <w:szCs w:val="20"/>
              </w:rPr>
              <w:t xml:space="preserve">E09</w:t>
            </w:r>
          </w:p>
        </w:tc>
        <w:tc>
          <w:tcPr>
            <w:tcW w:type="dxa" w:w="8150"/>
            <w:tcMar>
              <w:top w:type="dxa" w:w="100"/>
              <w:left w:type="dxa" w:w="120"/>
              <w:bottom w:type="dxa" w:w="100"/>
              <w:right w:type="dxa" w:w="120"/>
            </w:tcMar>
            <w:vAlign w:val="top"/>
          </w:tcPr>
          <w:p>
            <w:pPr>
              <w:spacing w:after="60"/>
            </w:pPr>
            <w:r>
              <w:rPr>
                <w:sz w:val="20"/>
                <w:szCs w:val="20"/>
              </w:rPr>
              <w:t xml:space="preserve">Prior and pending litigation date</w:t>
            </w:r>
          </w:p>
        </w:tc>
      </w:tr>
      <w:tr>
        <w:tc>
          <w:tcPr>
            <w:tcW w:type="dxa" w:w="1200"/>
            <w:tcMar>
              <w:top w:type="dxa" w:w="100"/>
              <w:left w:type="dxa" w:w="120"/>
              <w:bottom w:type="dxa" w:w="100"/>
              <w:right w:type="dxa" w:w="120"/>
            </w:tcMar>
            <w:vAlign w:val="top"/>
          </w:tcPr>
          <w:p>
            <w:pPr>
              <w:spacing w:after="0"/>
            </w:pPr>
            <w:r>
              <w:rPr>
                <w:sz w:val="20"/>
                <w:szCs w:val="20"/>
              </w:rPr>
              <w:t xml:space="preserve">E10</w:t>
            </w:r>
          </w:p>
        </w:tc>
        <w:tc>
          <w:tcPr>
            <w:tcW w:type="dxa" w:w="8150"/>
            <w:tcMar>
              <w:top w:type="dxa" w:w="100"/>
              <w:left w:type="dxa" w:w="120"/>
              <w:bottom w:type="dxa" w:w="100"/>
              <w:right w:type="dxa" w:w="120"/>
            </w:tcMar>
            <w:vAlign w:val="top"/>
          </w:tcPr>
          <w:p>
            <w:pPr>
              <w:spacing w:after="60"/>
            </w:pPr>
            <w:r>
              <w:rPr>
                <w:sz w:val="20"/>
                <w:szCs w:val="20"/>
              </w:rPr>
              <w:t xml:space="preserve">Excess layer</w:t>
            </w:r>
          </w:p>
        </w:tc>
      </w:tr>
    </w:tbl>
    <w:p>
      <w:r>
        <w:br w:type="page"/>
      </w:r>
    </w:p>
    <w:p>
      <w:pPr>
        <w:spacing w:after="180" w:before="360"/>
      </w:pPr>
      <w:r>
        <w:rPr>
          <w:b/>
          <w:bCs/>
          <w:sz w:val="27"/>
          <w:szCs w:val="27"/>
        </w:rPr>
        <w:t xml:space="preserve"> Licence and Trademark Notice</w:t>
      </w:r>
    </w:p>
    <w:p>
      <w:pPr>
        <w:spacing w:after="160"/>
      </w:pPr>
      <w:r>
        <w:rPr>
          <w:sz w:val="21"/>
          <w:szCs w:val="21"/>
        </w:rPr>
        <w:t xml:space="preserve">This wording's text is licensed under Creative Commons Attribution 4.0 International (CC BY 4.0). The licence applies to the wording text only. It does not extend to, and no licence is granted in, the "Meridian" name, the Cuttleflow Systems name, logo, bearing mark, or any other trademark, trade dress, or brand asset, all of which remain the property of their respective owners and may not be used without separate permission.</w:t>
      </w:r>
    </w:p>
    <w:p>
      <w:pPr>
        <w:spacing w:after="160"/>
      </w:pPr>
      <w:r>
        <w:rPr>
          <w:sz w:val="21"/>
          <w:szCs w:val="21"/>
        </w:rPr>
        <w:t xml:space="preserve">An adopting agency's own schedule, endorsements, and other materials prepared for use with this wording are not required to be released under CC BY 4.0 merely because they are used together with this wording; CC BY 4.0 requires only that you attribute the wording text you use.</w:t>
      </w:r>
    </w:p>
    <w:p>
      <w:pPr>
        <w:spacing w:after="160"/>
      </w:pPr>
      <w:r>
        <w:rPr>
          <w:sz w:val="21"/>
          <w:szCs w:val="21"/>
        </w:rPr>
        <w:t xml:space="preserve">This wording is provided for general use and adaptation. Adopting agencies and their advisers are responsible for obtaining their own legal, regulatory, and reinsurance advice before use, and use of this wording requires the approval of the relevant capacity provider. Any Wording Partner review and sign-off letter issued in respect of this wording runs to Cuttleflow Systems Pty Ltd only and does not constitute legal advice to any adopting agency or insured.</w:t>
      </w:r>
    </w:p>
    <w:p>
      <w:pPr>
        <w:spacing w:after="160"/>
      </w:pPr>
      <w:r>
        <w:rPr>
          <w:i/>
          <w:iCs/>
          <w:color w:val="1C1915"/>
          <w:sz w:val="21"/>
          <w:szCs w:val="21"/>
        </w:rPr>
        <w:t xml:space="preserve"/>
      </w:r>
    </w:p>
    <w:p>
      <w:pPr>
        <w:spacing w:after="160"/>
      </w:pPr>
      <w:r>
        <w:rPr>
          <w:sz w:val="21"/>
          <w:szCs w:val="21"/>
        </w:rPr>
        <w:t xml:space="preserve">Designed for the Australian market. Assumes application of the Insurance Contracts Act 1984 (Cth). Users are responsible for their own legal review, regulatory compliance, and reinsurance alignment.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jc w:val="center"/>
    </w:pPr>
    <w:r>
      <w:rPr>
        <w:b/>
        <w:bCs/>
        <w:color w:val="1C1915"/>
        <w:sz w:val="16"/>
        <w:szCs w:val="16"/>
      </w:rPr>
      <w:t xml:space="preserve">DRAFT — SUBJECT TO LEGAL REVIEW — NOT FOR USE</w:t>
    </w:r>
  </w:p>
  <w:p>
    <w:pPr>
      <w:spacing w:before="40"/>
      <w:jc w:val="center"/>
    </w:pPr>
    <w:r>
      <w:rPr>
        <w:sz w:val="15"/>
        <w:szCs w:val="15"/>
      </w:rPr>
      <w:t xml:space="preserve">Meridian Commons — Open Source Insurance Wording · CC BY 4.0 (text only) · 2026/PI/0001 · v1.2.0-DRAFT · July 2026 · Page </w:t>
    </w:r>
    <w:r>
      <w:rPr>
        <w:sz w:val="15"/>
        <w:szCs w:val="15"/>
      </w:rPr>
      <w:fldChar w:fldCharType="begin"/>
      <w:instrText xml:space="preserve">PAGE</w:instrText>
      <w:fldChar w:fldCharType="separate"/>
      <w:fldChar w:fldCharType="end"/>
    </w:r>
    <w:r>
      <w:rPr>
        <w:sz w:val="15"/>
        <w:szCs w:val="15"/>
      </w:rPr>
      <w:t xml:space="preserve"> of </w:t>
    </w:r>
    <w:r>
      <w:rPr>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4E2C" w:sz="6" w:space="4"/>
      </w:pBdr>
      <w:spacing w:after="0"/>
      <w:jc w:val="center"/>
    </w:pPr>
    <w:r>
      <w:rPr>
        <w:b/>
        <w:bCs/>
        <w:color w:val="1C1915"/>
        <w:sz w:val="18"/>
        <w:szCs w:val="18"/>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2026-07-18T01:39:45.564Z</dcterms:created>
  <dcterms:modified xsi:type="dcterms:W3CDTF">2026-07-18T01:39:45.565Z</dcterms:modified>
</cp:coreProperties>
</file>

<file path=docProps/custom.xml><?xml version="1.0" encoding="utf-8"?>
<Properties xmlns="http://schemas.openxmlformats.org/officeDocument/2006/custom-properties" xmlns:vt="http://schemas.openxmlformats.org/officeDocument/2006/docPropsVTypes"/>
</file>