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RISK, SAFETY AND CLAIMS CONSULTANTS</w:t>
      </w:r>
    </w:p>
    <w:p>
      <w:r>
        <w:rPr>
          <w:rFonts w:ascii="Georgia" w:hAnsi="Georgia" w:eastAsia="Georgia"/>
          <w:b/>
          <w:i w:val="0"/>
          <w:sz w:val="60"/>
        </w:rPr>
        <w:t>Risk, Safety and Claims Consultants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2026/PI/0011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Risk, Safety and Claims Consultants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to a third party for a fee:</w:t>
      </w:r>
    </w:p>
    <w:p>
      <w:r>
        <w:rPr>
          <w:b w:val="0"/>
          <w:i w:val="0"/>
        </w:rPr>
        <w:t>(a) work health and safety consulting, including psychosocial hazard assessment;</w:t>
      </w:r>
    </w:p>
    <w:p>
      <w:r>
        <w:rPr>
          <w:b w:val="0"/>
          <w:i w:val="0"/>
        </w:rPr>
        <w:t>(b) risk management consulting;</w:t>
      </w:r>
    </w:p>
    <w:p>
      <w:r>
        <w:rPr>
          <w:b w:val="0"/>
          <w:i w:val="0"/>
        </w:rPr>
        <w:t>(c) fire safety consulting, other than fire safety engineering and the design or certification of fire safety systems;</w:t>
      </w:r>
    </w:p>
    <w:p>
      <w:r>
        <w:rPr>
          <w:b w:val="0"/>
          <w:i w:val="0"/>
        </w:rPr>
        <w:t>(d) loss assessing and loss adjusting;</w:t>
      </w:r>
    </w:p>
    <w:p>
      <w:r>
        <w:rPr>
          <w:b w:val="0"/>
          <w:i w:val="0"/>
        </w:rPr>
        <w:t>(e) claims management services, other than deciding or settling insurance claims, unless that service is shown in the schedule;</w:t>
      </w:r>
    </w:p>
    <w:p>
      <w:r>
        <w:rPr>
          <w:b w:val="0"/>
          <w:i w:val="0"/>
        </w:rPr>
        <w:t>(f) workplace investigations;</w:t>
      </w:r>
    </w:p>
    <w:p>
      <w:r>
        <w:rPr>
          <w:b w:val="0"/>
          <w:i w:val="0"/>
        </w:rPr>
        <w:t>(g) investigation and surveillance services, provided by a person who holds the licence the law requires;</w:t>
      </w:r>
    </w:p>
    <w:p>
      <w:r>
        <w:rPr>
          <w:b w:val="0"/>
          <w:i w:val="0"/>
        </w:rPr>
        <w:t>(h) non-clinical injury management and return-to-work coordination;</w:t>
      </w:r>
    </w:p>
    <w:p>
      <w:r>
        <w:rPr>
          <w:b w:val="0"/>
          <w:i w:val="0"/>
        </w:rPr>
        <w:t>(i) training in any of these services; and</w:t>
      </w:r>
    </w:p>
    <w:p>
      <w:r>
        <w:rPr>
          <w:b w:val="0"/>
          <w:i w:val="0"/>
        </w:rPr>
        <w:t>(j) any other service shown in the schedule as a professional service.</w:t>
      </w:r>
    </w:p>
    <w:p>
      <w:hyperlink w:anchor="c_pi_excl_financial_services">
        <w:r>
          <w:rPr>
            <w:color w:val="2E5C4E"/>
            <w:u w:val="single"/>
          </w:rPr>
          <w:t xml:space="preserve">The Financial Services exclusion</w:t>
        </w:r>
      </w:hyperlink>
      <w:r>
        <w:rPr>
          <w:b w:val="0"/>
          <w:i w:val="0"/>
        </w:rPr>
        <w:t xml:space="preserve"> does not apply to the services in (d) and (e), other than deciding or settling insurance claims, unless the work involves financial product advice, dealing in a financial product or a credit activity.</w:t>
      </w:r>
    </w:p>
    <w:p>
      <w:r>
        <w:rPr>
          <w:b w:val="0"/>
          <w:i w:val="0"/>
        </w:rPr>
        <w:t>[WP REVIEW: confirm whether loss assessing and loss adjusting are financial services (claims handling and settling) that need an Australian financial services licence.]</w:t>
      </w:r>
    </w:p>
    <w:p>
      <w:bookmarkStart w:id="2" w:name="c_end_1"/>
      <w:r>
        <w:rPr>
          <w:rFonts w:ascii="Georgia" w:hAnsi="Georgia" w:eastAsia="Georgia"/>
          <w:b/>
          <w:i w:val="0"/>
          <w:color w:val="1C1915"/>
          <w:sz w:val="32"/>
        </w:rPr>
        <w:t>Added: Workplace Investigation Reports</w:t>
      </w:r>
      <w:bookmarkEnd w:id="2"/>
    </w:p>
    <w:p>
      <w:r>
        <w:rPr>
          <w:b w:val="0"/>
          <w:i w:val="0"/>
        </w:rPr>
        <w:t>The following extension is added to the base wording, after the Subcontractors and Outsourcers extension.</w:t>
      </w:r>
    </w:p>
    <w:p>
      <w:r>
        <w:rPr>
          <w:b/>
          <w:i w:val="0"/>
        </w:rPr>
        <w:t>Workplace Investigation Reports</w:t>
      </w:r>
    </w:p>
    <w:p>
      <w:r>
        <w:rPr>
          <w:b w:val="0"/>
          <w:i w:val="0"/>
        </w:rPr>
        <w:t xml:space="preserve">Despite the limit to unintentional defamation in </w:t>
      </w:r>
      <w:hyperlink w:anchor="c_pi_cover_claims_against_you">
        <w:r>
          <w:rPr>
            <w:color w:val="2E5C4E"/>
            <w:u w:val="single"/>
          </w:rPr>
          <w:t xml:space="preserve">the Claims Against You clause</w:t>
        </w:r>
      </w:hyperlink>
      <w:r>
        <w:rPr>
          <w:b w:val="0"/>
          <w:i w:val="0"/>
        </w:rPr>
        <w:t xml:space="preserve">, the cover for defamation includes a claim by a person who was the subject of, or a witness in, a workplace investigation you conducted, arising from statements in a report you gave to your client, whether or not you intended to publish the report to your client, unless a </w:t>
      </w:r>
      <w:r>
        <w:rPr>
          <w:b/>
          <w:i w:val="0"/>
        </w:rPr>
        <w:t>Final adjudication</w:t>
      </w:r>
      <w:r>
        <w:rPr>
          <w:b w:val="0"/>
          <w:i w:val="0"/>
        </w:rPr>
        <w:t xml:space="preserve"> establishes that you published the statements with malice.</w:t>
      </w:r>
    </w:p>
    <w:p>
      <w:bookmarkStart w:id="3" w:name="c_end_2"/>
      <w:r>
        <w:rPr>
          <w:rFonts w:ascii="Georgia" w:hAnsi="Georgia" w:eastAsia="Georgia"/>
          <w:b/>
          <w:i w:val="0"/>
          <w:color w:val="1C1915"/>
          <w:sz w:val="32"/>
        </w:rPr>
        <w:t>Added: Clinical Services</w:t>
      </w:r>
      <w:bookmarkEnd w:id="3"/>
    </w:p>
    <w:p>
      <w:r>
        <w:rPr>
          <w:b w:val="0"/>
          <w:i w:val="0"/>
        </w:rPr>
        <w:t>The following exclusion is added to the base wording, after the Bodily Injury and Property Damage exclusion.</w:t>
      </w:r>
    </w:p>
    <w:p>
      <w:r>
        <w:rPr>
          <w:b/>
          <w:i w:val="0"/>
        </w:rPr>
        <w:t>Clinical Services</w:t>
      </w:r>
    </w:p>
    <w:p>
      <w:r>
        <w:rPr>
          <w:b w:val="0"/>
          <w:i w:val="0"/>
        </w:rPr>
        <w:t>Arising from the diagnosis, treatment or clinical assessment of any person by a medical practitioner, nurse, psychologist or other registered health practitioner, including fitness-for-work medical assessments.</w:t>
      </w:r>
    </w:p>
    <w:p>
      <w:r>
        <w:rPr>
          <w:b w:val="0"/>
          <w:i w:val="0"/>
        </w:rPr>
        <w:t>This exposure is designed to be covered under an allied health or medical indemnity policy.</w:t>
      </w:r>
    </w:p>
    <w:p>
      <w:bookmarkStart w:id="4" w:name="c_end_3"/>
      <w:r>
        <w:rPr>
          <w:rFonts w:ascii="Georgia" w:hAnsi="Georgia" w:eastAsia="Georgia"/>
          <w:b/>
          <w:i w:val="0"/>
          <w:color w:val="1C1915"/>
          <w:sz w:val="32"/>
        </w:rPr>
        <w:t>Added: Fire Safety System Design and Certification</w:t>
      </w:r>
      <w:bookmarkEnd w:id="4"/>
    </w:p>
    <w:p>
      <w:r>
        <w:rPr>
          <w:b w:val="0"/>
          <w:i w:val="0"/>
        </w:rPr>
        <w:t>The following exclusion is added to the base wording, after the Products exclusion.</w:t>
      </w:r>
    </w:p>
    <w:p>
      <w:r>
        <w:rPr>
          <w:b/>
          <w:i w:val="0"/>
        </w:rPr>
        <w:t>Fire Safety System Design and Certification</w:t>
      </w:r>
    </w:p>
    <w:p>
      <w:r>
        <w:rPr>
          <w:b w:val="0"/>
          <w:i w:val="0"/>
        </w:rPr>
        <w:t>Arising from the design, specification, installation, commissioning or certification of a fire safety system, or the preparation of a fire safety performance solution under the National Construction Code.</w:t>
      </w:r>
    </w:p>
    <w:p>
      <w:r>
        <w:rPr>
          <w:b w:val="0"/>
          <w:i w:val="0"/>
        </w:rPr>
        <w:t xml:space="preserve">The definition of </w:t>
      </w:r>
      <w:hyperlink w:anchor="c_pi_rs_def_professional_services">
        <w:r>
          <w:rPr>
            <w:color w:val="2E5C4E"/>
            <w:u w:val="single"/>
          </w:rPr>
          <w:t xml:space="preserve">Professional services</w:t>
        </w:r>
      </w:hyperlink>
      <w:r>
        <w:rPr>
          <w:b w:val="0"/>
          <w:i w:val="0"/>
        </w:rPr>
        <w:t xml:space="preserve"> already leaves this work out. This exclusion applies even where the schedule describes a fire safety service in general terms. It does not apply to work that the schedule names specifically as a professional service.</w:t>
      </w:r>
    </w:p>
    <w:p>
      <w:bookmarkStart w:id="5" w:name="c_end_4"/>
      <w:r>
        <w:rPr>
          <w:rFonts w:ascii="Georgia" w:hAnsi="Georgia" w:eastAsia="Georgia"/>
          <w:b/>
          <w:i w:val="0"/>
          <w:color w:val="1C1915"/>
          <w:sz w:val="32"/>
        </w:rPr>
        <w:t>Risk, Safety and Claims Endorsements</w:t>
      </w:r>
      <w:bookmarkEnd w:id="5"/>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6" w:name="c_end_5"/>
      <w:r>
        <w:rPr>
          <w:rFonts w:ascii="Georgia" w:hAnsi="Georgia" w:eastAsia="Georgia"/>
          <w:b/>
          <w:i w:val="0"/>
          <w:color w:val="1C1915"/>
          <w:sz w:val="32"/>
        </w:rPr>
        <w:t>Claims Handling Authorisation</w:t>
      </w:r>
      <w:bookmarkEnd w:id="6"/>
    </w:p>
    <w:p>
      <w:r>
        <w:rPr>
          <w:b w:val="0"/>
          <w:i w:val="0"/>
        </w:rPr>
        <w:t>Deciding and settling insurance claims on behalf of an insurer is a professional service under this policy while you are authorised to provide it under the Australian financial services licence, or as an authorised representative of the licensee, shown in the schedule.</w:t>
      </w:r>
    </w:p>
    <w:p>
      <w:r>
        <w:rPr>
          <w:b w:val="0"/>
          <w:i w:val="0"/>
        </w:rPr>
        <w:t xml:space="preserve">For a claim arising from that service, </w:t>
      </w:r>
      <w:hyperlink w:anchor="c_pi_excl_financial_services">
        <w:r>
          <w:rPr>
            <w:color w:val="2E5C4E"/>
            <w:u w:val="single"/>
          </w:rPr>
          <w:t xml:space="preserve">the Financial Services exclusion</w:t>
        </w:r>
      </w:hyperlink>
      <w:r>
        <w:rPr>
          <w:b w:val="0"/>
          <w:i w:val="0"/>
        </w:rPr>
        <w:t xml:space="preserve"> does not apply.</w:t>
      </w:r>
    </w:p>
    <w:p>
      <w:r>
        <w:rPr>
          <w:b w:val="0"/>
          <w:i w:val="0"/>
        </w:rPr>
        <w:t>[WP REVIEW: confirm whether any compensation arrangement requirement under ASIC RG 126 applies to an insured who decides or settles claims under an Australian financial services licence, and whether this cover meets it.]</w:t>
      </w:r>
    </w:p>
    <w:p>
      <w:bookmarkStart w:id="7" w:name="c_end_6"/>
      <w:r>
        <w:rPr>
          <w:rFonts w:ascii="Georgia" w:hAnsi="Georgia" w:eastAsia="Georgia"/>
          <w:b/>
          <w:i w:val="0"/>
          <w:color w:val="1C1915"/>
          <w:sz w:val="32"/>
        </w:rPr>
        <w:t>Surveillance Exclusion</w:t>
      </w:r>
      <w:bookmarkEnd w:id="7"/>
    </w:p>
    <w:p>
      <w:r>
        <w:rPr>
          <w:b w:val="0"/>
          <w:i w:val="0"/>
        </w:rPr>
        <w:t>We do not cover any claim, loss or liability arising from covert surveillance of a person, including any claim for trespass, invasion of privacy or breach of a surveillance devices law.</w:t>
      </w:r>
    </w:p>
    <w:p>
      <w:bookmarkStart w:id="8" w:name="c_end_7"/>
      <w:r>
        <w:rPr>
          <w:rFonts w:ascii="Georgia" w:hAnsi="Georgia" w:eastAsia="Georgia"/>
          <w:b/>
          <w:i w:val="0"/>
          <w:color w:val="1C1915"/>
          <w:sz w:val="32"/>
        </w:rPr>
        <w:t>Psychosocial Hazards Sub-limit</w:t>
      </w:r>
      <w:bookmarkEnd w:id="8"/>
    </w:p>
    <w:p>
      <w:r>
        <w:rPr>
          <w:b w:val="0"/>
          <w:i w:val="0"/>
        </w:rPr>
        <w:t>For all claims arising from the assessment of, or advice on, psychosocial hazards, the most we will pay in total, including defence costs, is the sub-limit shown in the schedule for this endorsement. The sub-limit is part of, and not in addition to, the limit of liability.</w:t>
      </w:r>
    </w:p>
    <w:p>
      <w:bookmarkStart w:id="9" w:name="c_end_8"/>
      <w:r>
        <w:rPr>
          <w:rFonts w:ascii="Georgia" w:hAnsi="Georgia" w:eastAsia="Georgia"/>
          <w:b/>
          <w:i w:val="0"/>
          <w:color w:val="1C1915"/>
          <w:sz w:val="32"/>
        </w:rPr>
        <w:t>Fire Safety Engineering Exclusion</w:t>
      </w:r>
      <w:bookmarkEnd w:id="9"/>
    </w:p>
    <w:p>
      <w:r>
        <w:rPr>
          <w:b w:val="0"/>
          <w:i w:val="0"/>
        </w:rPr>
        <w:t>We do not cover any claim, loss or liability arising from fire safety engineering advice, including fire modelling, egress analysis and the assessment of fire safety performance.</w:t>
      </w:r>
    </w:p>
    <w:p>
      <w:r>
        <w:rPr>
          <w:b w:val="0"/>
          <w:i w:val="0"/>
        </w:rPr>
        <w:t>This endorsement applies even where the schedule describes a fire safety service in general terms. It does not apply to advice that the schedule names specifically as a professional service.</w:t>
      </w:r>
    </w:p>
    <w:p>
      <w:bookmarkStart w:id="10" w:name="c_end_9"/>
      <w:r>
        <w:rPr>
          <w:rFonts w:ascii="Georgia" w:hAnsi="Georgia" w:eastAsia="Georgia"/>
          <w:b/>
          <w:i w:val="0"/>
          <w:color w:val="1C1915"/>
          <w:sz w:val="32"/>
        </w:rPr>
        <w:t>Expert Witness</w:t>
      </w:r>
      <w:bookmarkEnd w:id="10"/>
    </w:p>
    <w:p>
      <w:r>
        <w:rPr>
          <w:b w:val="0"/>
          <w:i w:val="0"/>
        </w:rPr>
        <w:t>Preparing expert reports for legal proceedings and giving expert evidence are professional services under this policy.</w:t>
      </w:r>
    </w:p>
    <w:p>
      <w:r>
        <w:rPr>
          <w:b w:val="0"/>
          <w:i w:val="0"/>
        </w:rPr>
        <w:t xml:space="preserve">We also pay, under </w:t>
      </w:r>
      <w:hyperlink w:anchor="c_pi_ext_inquiry_costs">
        <w:r>
          <w:rPr>
            <w:color w:val="2E5C4E"/>
            <w:u w:val="single"/>
          </w:rPr>
          <w:t xml:space="preserve">the Inquiry Costs extension</w:t>
        </w:r>
      </w:hyperlink>
      <w:r>
        <w:rPr>
          <w:b w:val="0"/>
          <w:i w:val="0"/>
        </w:rPr>
        <w:t>, your defence costs in responding to a complaint to a professional body arising from your expert evidence.</w:t>
      </w:r>
    </w:p>
    <w:p>
      <w:r>
        <w:rPr>
          <w:b w:val="0"/>
          <w:i/>
          <w:sz w:val="18"/>
        </w:rPr>
        <w:t>Cuttleflow Systems — Open Source Insurance Wording</w:t>
      </w:r>
    </w:p>
    <w:p>
      <w:r>
        <w:rPr>
          <w:rFonts w:ascii="Consolas" w:hAnsi="Consolas" w:eastAsia="Consolas"/>
          <w:b w:val="0"/>
          <w:i w:val="0"/>
          <w:sz w:val="16"/>
        </w:rPr>
        <w:t>2026/PI/0011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2026/PI/0011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RISK, SAFETY AND CLAIMS CONSULTANTS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Safety and Claims Consultants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