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REAL ESTATE AND STRATA</w:t>
      </w:r>
    </w:p>
    <w:p>
      <w:r>
        <w:rPr>
          <w:rFonts w:ascii="Georgia" w:hAnsi="Georgia" w:eastAsia="Georgia"/>
          <w:b/>
          <w:i w:val="0"/>
          <w:sz w:val="60"/>
        </w:rPr>
        <w:t>Real Estate and Strata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2026/PI/0007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re_def_professional_services"/>
            <w:r>
              <w:rPr>
                <w:b/>
                <w:i w:val="0"/>
              </w:rPr>
              <w:t>Professional services</w:t>
            </w:r>
            <w:bookmarkEnd w:id="25"/>
          </w:p>
        </w:tc>
        <w:tc>
          <w:tcPr>
            <w:tcW w:type="dxa" w:w="6803"/>
          </w:tcPr>
          <w:p>
            <w:r>
              <w:rPr>
                <w:b w:val="0"/>
                <w:i w:val="0"/>
              </w:rPr>
              <w:t>The following services provided to a third party for a fee or commission:</w:t>
            </w:r>
          </w:p>
          <w:p>
            <w:r>
              <w:rPr>
                <w:b w:val="0"/>
                <w:i w:val="0"/>
              </w:rPr>
              <w:t>(a) the sale, purchase, leasing and management of real property, including residential, commercial, industrial and rural property;</w:t>
            </w:r>
          </w:p>
          <w:p>
            <w:r>
              <w:rPr>
                <w:b w:val="0"/>
                <w:i w:val="0"/>
              </w:rPr>
              <w:t>(b) the management of strata and community schemes, including acting as strata managing agent;</w:t>
            </w:r>
          </w:p>
          <w:p>
            <w:r>
              <w:rPr>
                <w:b w:val="0"/>
                <w:i w:val="0"/>
              </w:rPr>
              <w:t>(c) stock and station agency, including the sale of livestock and rural property;</w:t>
            </w:r>
          </w:p>
          <w:p>
            <w:r>
              <w:rPr>
                <w:b w:val="0"/>
                <w:i w:val="0"/>
              </w:rPr>
              <w:t>(d) auctioneering;</w:t>
            </w:r>
          </w:p>
          <w:p>
            <w:r>
              <w:rPr>
                <w:b w:val="0"/>
                <w:i w:val="0"/>
              </w:rPr>
              <w:t>(e) arranging general insurance as an authorised representative, where shown in the schedule; and</w:t>
            </w:r>
          </w:p>
          <w:p>
            <w:r>
              <w:rPr>
                <w:b w:val="0"/>
                <w:i w:val="0"/>
              </w:rPr>
              <w:t>(f) any other service shown in the schedule as a professional service.</w:t>
            </w:r>
          </w:p>
          <w:p>
            <w:r>
              <w:rPr>
                <w:b w:val="0"/>
                <w:i w:val="0"/>
              </w:rPr>
              <w:t>Appraisals and market assessments of the likely selling price or rent of a property are part of these services.</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re_ext_dishonesty_of_employees_and_"/>
      <w:r>
        <w:rPr>
          <w:rFonts w:ascii="Georgia" w:hAnsi="Georgia" w:eastAsia="Georgia"/>
          <w:b/>
          <w:i w:val="0"/>
          <w:color w:val="2E5C4E"/>
          <w:sz w:val="25"/>
        </w:rPr>
        <w:t>Dishonesty of Employees and Agents</w:t>
      </w:r>
      <w:bookmarkEnd w:id="38"/>
    </w:p>
    <w:p>
      <w:r>
        <w:rPr>
          <w:b w:val="0"/>
          <w:i w:val="0"/>
        </w:rPr>
        <w:t xml:space="preserve">Despite </w:t>
      </w:r>
      <w:hyperlink w:anchor="c_pi_excl_deliberate_and_dishonest_acts">
        <w:r>
          <w:rPr>
            <w:color w:val="2E5C4E"/>
            <w:u w:val="single"/>
          </w:rPr>
          <w:t xml:space="preserve">the Deliberate and Dishonest Acts exclusion</w:t>
        </w:r>
      </w:hyperlink>
      <w:r>
        <w:rPr>
          <w:b w:val="0"/>
          <w:i w:val="0"/>
        </w:rPr>
        <w:t xml:space="preserve">, the cover for dishonesty of your employees under </w:t>
      </w:r>
      <w:hyperlink w:anchor="c_pi_cover_claims_against_you">
        <w:r>
          <w:rPr>
            <w:color w:val="2E5C4E"/>
            <w:u w:val="single"/>
          </w:rPr>
          <w:t xml:space="preserve">the Claims Against You clause</w:t>
        </w:r>
      </w:hyperlink>
      <w:r>
        <w:rPr>
          <w:b w:val="0"/>
          <w:i w:val="0"/>
        </w:rPr>
        <w:t xml:space="preserve"> also applies to the dishonest or fraudulent conduct of your agents, including contractors, sub-agents and assistant agents acting on your behalf, where you are legally liable for that conduct to a claimant who did not take part in it. That exclusion otherwise continues to apply, including to an insured person who committed, condoned or participated in the conduct.</w:t>
      </w:r>
    </w:p>
    <w:p>
      <w:r>
        <w:rPr>
          <w:b w:val="0"/>
          <w:i w:val="0"/>
        </w:rPr>
        <w:t xml:space="preserve">This extension does not apply to conduct described in </w:t>
      </w:r>
      <w:hyperlink w:anchor="c_pi_re_excl_trust_money_taken_by_princi">
        <w:r>
          <w:rPr>
            <w:color w:val="2E5C4E"/>
            <w:u w:val="single"/>
          </w:rPr>
          <w:t xml:space="preserve">the Trust Money Taken by Principals exclusion</w:t>
        </w:r>
      </w:hyperlink>
      <w:r>
        <w:rPr>
          <w:b w:val="0"/>
          <w:i w:val="0"/>
        </w:rPr>
        <w:t>.</w:t>
      </w:r>
    </w:p>
    <w:p>
      <w:bookmarkStart w:id="39" w:name="c_pi_ext_statutory_liability"/>
      <w:r>
        <w:rPr>
          <w:rFonts w:ascii="Georgia" w:hAnsi="Georgia" w:eastAsia="Georgia"/>
          <w:b/>
          <w:i w:val="0"/>
          <w:color w:val="2E5C4E"/>
          <w:sz w:val="25"/>
        </w:rPr>
        <w:t>Statutory Liability</w:t>
      </w:r>
      <w:bookmarkEnd w:id="39"/>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40" w:name="c_pi_ext_inquiry_costs"/>
      <w:r>
        <w:rPr>
          <w:rFonts w:ascii="Georgia" w:hAnsi="Georgia" w:eastAsia="Georgia"/>
          <w:b/>
          <w:i w:val="0"/>
          <w:color w:val="2E5C4E"/>
          <w:sz w:val="25"/>
        </w:rPr>
        <w:t>Inquiry Costs</w:t>
      </w:r>
      <w:bookmarkEnd w:id="40"/>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1" w:name="c_pi_ext_continuous_cover"/>
      <w:r>
        <w:rPr>
          <w:rFonts w:ascii="Georgia" w:hAnsi="Georgia" w:eastAsia="Georgia"/>
          <w:b/>
          <w:i w:val="0"/>
          <w:color w:val="2E5C4E"/>
          <w:sz w:val="25"/>
        </w:rPr>
        <w:t>Continuous Cover</w:t>
      </w:r>
      <w:bookmarkEnd w:id="41"/>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2" w:name="c_pi_ext_mitigation_costs"/>
      <w:r>
        <w:rPr>
          <w:rFonts w:ascii="Georgia" w:hAnsi="Georgia" w:eastAsia="Georgia"/>
          <w:b/>
          <w:i w:val="0"/>
          <w:color w:val="2E5C4E"/>
          <w:sz w:val="25"/>
        </w:rPr>
        <w:t>Mitigation Costs</w:t>
      </w:r>
      <w:bookmarkEnd w:id="42"/>
    </w:p>
    <w:p>
      <w:r>
        <w:rPr>
          <w:b w:val="0"/>
          <w:i w:val="0"/>
        </w:rPr>
        <w:t>We will pay the reasonable costs you incur, with our prior written consent, to prevent or reduce a loss that would otherwise be covered by this policy.</w:t>
      </w:r>
    </w:p>
    <w:p>
      <w:bookmarkStart w:id="43" w:name="c_pi_ext_public_relations_costs"/>
      <w:r>
        <w:rPr>
          <w:rFonts w:ascii="Georgia" w:hAnsi="Georgia" w:eastAsia="Georgia"/>
          <w:b/>
          <w:i w:val="0"/>
          <w:color w:val="2E5C4E"/>
          <w:sz w:val="25"/>
        </w:rPr>
        <w:t>Public Relations Costs</w:t>
      </w:r>
      <w:bookmarkEnd w:id="43"/>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4" w:name="c_pi_ext_court_attendance"/>
      <w:r>
        <w:rPr>
          <w:rFonts w:ascii="Georgia" w:hAnsi="Georgia" w:eastAsia="Georgia"/>
          <w:b/>
          <w:i w:val="0"/>
          <w:color w:val="2E5C4E"/>
          <w:sz w:val="25"/>
        </w:rPr>
        <w:t>Court Attendance</w:t>
      </w:r>
      <w:bookmarkEnd w:id="44"/>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5" w:name="c_pi_ext_newly_acquired_subsidiaries"/>
      <w:r>
        <w:rPr>
          <w:rFonts w:ascii="Georgia" w:hAnsi="Georgia" w:eastAsia="Georgia"/>
          <w:b/>
          <w:i w:val="0"/>
          <w:color w:val="2E5C4E"/>
          <w:sz w:val="25"/>
        </w:rPr>
        <w:t>Newly Acquired Subsidiaries</w:t>
      </w:r>
      <w:bookmarkEnd w:id="45"/>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6" w:name="c_pi_ext_joint_ventures"/>
      <w:r>
        <w:rPr>
          <w:rFonts w:ascii="Georgia" w:hAnsi="Georgia" w:eastAsia="Georgia"/>
          <w:b/>
          <w:i w:val="0"/>
          <w:color w:val="2E5C4E"/>
          <w:sz w:val="25"/>
        </w:rPr>
        <w:t>Joint Ventures</w:t>
      </w:r>
      <w:bookmarkEnd w:id="46"/>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7" w:name="c_pi_ext_predecessor_practices"/>
      <w:r>
        <w:rPr>
          <w:rFonts w:ascii="Georgia" w:hAnsi="Georgia" w:eastAsia="Georgia"/>
          <w:b/>
          <w:i w:val="0"/>
          <w:color w:val="2E5C4E"/>
          <w:sz w:val="25"/>
        </w:rPr>
        <w:t>Predecessor Practices</w:t>
      </w:r>
      <w:bookmarkEnd w:id="47"/>
    </w:p>
    <w:p>
      <w:r>
        <w:rPr>
          <w:b w:val="0"/>
          <w:i w:val="0"/>
        </w:rPr>
        <w:t>We will cover claims arising from the business activity of any predecessor practice, as if the predecessor practice's work had been performed by you.</w:t>
      </w:r>
    </w:p>
    <w:p>
      <w:bookmarkStart w:id="48" w:name="c_pi_re_ext_franchisors"/>
      <w:r>
        <w:rPr>
          <w:rFonts w:ascii="Georgia" w:hAnsi="Georgia" w:eastAsia="Georgia"/>
          <w:b/>
          <w:i w:val="0"/>
          <w:color w:val="2E5C4E"/>
          <w:sz w:val="25"/>
        </w:rPr>
        <w:t>Franchisor's Indemnity</w:t>
      </w:r>
      <w:bookmarkEnd w:id="48"/>
    </w:p>
    <w:p>
      <w:r>
        <w:rPr>
          <w:b w:val="0"/>
          <w:i w:val="0"/>
        </w:rPr>
        <w:t>If you operate under a franchise agreement that requires you to insure the franchisor, and the franchisor is named in the schedule, we will cover the franchisor for a claim against it arising from your professional services, as if the franchisor were an insured.</w:t>
      </w:r>
    </w:p>
    <w:p>
      <w:r>
        <w:rPr>
          <w:b w:val="0"/>
          <w:i w:val="0"/>
        </w:rPr>
        <w:t>This extension covers the franchisor only for its liability for your acts, errors or omissions, and not for its own conduct.</w:t>
      </w:r>
    </w:p>
    <w:p>
      <w:bookmarkStart w:id="49" w:name="c_pi_re_ext_rent_roll_acquisitions"/>
      <w:r>
        <w:rPr>
          <w:rFonts w:ascii="Georgia" w:hAnsi="Georgia" w:eastAsia="Georgia"/>
          <w:b/>
          <w:i w:val="0"/>
          <w:color w:val="2E5C4E"/>
          <w:sz w:val="25"/>
        </w:rPr>
        <w:t>Rent Roll Acquisitions</w:t>
      </w:r>
      <w:bookmarkEnd w:id="49"/>
    </w:p>
    <w:p>
      <w:r>
        <w:rPr>
          <w:b w:val="0"/>
          <w:i w:val="0"/>
        </w:rPr>
        <w:t>If you acquire a rent roll or strata management rights, we will cover you for a claim arising from the management of a property in that rent roll or scheme before you acquired it, to the extent that you are legally liable for it as the successor to the vendor, if you told us about the acquisition in your proposal or within 30 days after it.</w:t>
      </w:r>
    </w:p>
    <w:p>
      <w:r>
        <w:rPr>
          <w:b w:val="0"/>
          <w:i w:val="0"/>
        </w:rPr>
        <w:t xml:space="preserve">For a claim under this extension, the retroactive date does not apply to the management of the property before you acquired the rent roll or rights. </w:t>
      </w:r>
      <w:hyperlink w:anchor="c_pi_excl_prior_known_circumstances">
        <w:r>
          <w:rPr>
            <w:color w:val="2E5C4E"/>
            <w:u w:val="single"/>
          </w:rPr>
          <w:t xml:space="preserve">The Prior Known Circumstances exclusion</w:t>
        </w:r>
      </w:hyperlink>
      <w:r>
        <w:rPr>
          <w:b w:val="0"/>
          <w:i w:val="0"/>
        </w:rPr>
        <w:t xml:space="preserve"> and the rest of this policy continue to apply. If another insurance policy also covers the claim, </w:t>
      </w:r>
      <w:hyperlink w:anchor="c_pi_pay_other_insurance">
        <w:r>
          <w:rPr>
            <w:color w:val="2E5C4E"/>
            <w:u w:val="single"/>
          </w:rPr>
          <w:t xml:space="preserve">the Other Insurance provision</w:t>
        </w:r>
      </w:hyperlink>
      <w:r>
        <w:rPr>
          <w:b w:val="0"/>
          <w:i w:val="0"/>
        </w:rPr>
        <w:t xml:space="preserve"> applies; this extension does not make this policy excess of that other insurance.</w:t>
      </w:r>
    </w:p>
    <w:p>
      <w:bookmarkStart w:id="50" w:name="c_pi_re_ext_tribunal_proceedings"/>
      <w:r>
        <w:rPr>
          <w:rFonts w:ascii="Georgia" w:hAnsi="Georgia" w:eastAsia="Georgia"/>
          <w:b/>
          <w:i w:val="0"/>
          <w:color w:val="2E5C4E"/>
          <w:sz w:val="25"/>
        </w:rPr>
        <w:t>Tribunal Proceedings</w:t>
      </w:r>
      <w:bookmarkEnd w:id="50"/>
    </w:p>
    <w:p>
      <w:r>
        <w:rPr>
          <w:b w:val="0"/>
          <w:i w:val="0"/>
        </w:rPr>
        <w:t xml:space="preserve">An application to a civil and administrative tribunal of a state or territory seeking compensation from you, or an order that you pay money, is a claim within paragraph (b) of </w:t>
      </w:r>
      <w:hyperlink w:anchor="c_pi_def_claim">
        <w:r>
          <w:rPr>
            <w:color w:val="2E5C4E"/>
            <w:u w:val="single"/>
          </w:rPr>
          <w:t xml:space="preserve">the definition of Claim</w:t>
        </w:r>
      </w:hyperlink>
      <w:r>
        <w:rPr>
          <w:b w:val="0"/>
          <w:i w:val="0"/>
        </w:rPr>
        <w:t>.</w:t>
      </w:r>
    </w:p>
    <w:p>
      <w:bookmarkStart w:id="51" w:name="c_pi_ext_run_off_cover"/>
      <w:r>
        <w:rPr>
          <w:rFonts w:ascii="Georgia" w:hAnsi="Georgia" w:eastAsia="Georgia"/>
          <w:b/>
          <w:i w:val="0"/>
          <w:color w:val="2E5C4E"/>
          <w:sz w:val="25"/>
        </w:rPr>
        <w:t>Run-Off Cover</w:t>
      </w:r>
      <w:bookmarkEnd w:id="51"/>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52" w:name="c_pi_ext_subcontractors_and_outsourcers"/>
      <w:r>
        <w:rPr>
          <w:rFonts w:ascii="Georgia" w:hAnsi="Georgia" w:eastAsia="Georgia"/>
          <w:b/>
          <w:i w:val="0"/>
          <w:color w:val="2E5C4E"/>
          <w:sz w:val="25"/>
        </w:rPr>
        <w:t>Subcontractors and Outsourcers</w:t>
      </w:r>
      <w:bookmarkEnd w:id="52"/>
    </w:p>
    <w:p>
      <w:r>
        <w:rPr>
          <w:b w:val="0"/>
          <w:i w:val="0"/>
        </w:rPr>
        <w:t>We will cover you for any claim arising from work performed on your behalf by a subcontractor or outsourcer, provided the work falls within your business activity.</w:t>
      </w:r>
    </w:p>
    <w:p>
      <w:bookmarkStart w:id="53" w:name="c_pi_section_exclusions"/>
      <w:r>
        <w:rPr>
          <w:rFonts w:ascii="Georgia" w:hAnsi="Georgia" w:eastAsia="Georgia"/>
          <w:b/>
          <w:i w:val="0"/>
          <w:color w:val="1C1915"/>
          <w:sz w:val="32"/>
        </w:rPr>
        <w:t>What Is Not Covered</w:t>
      </w:r>
      <w:bookmarkEnd w:id="53"/>
    </w:p>
    <w:p>
      <w:r>
        <w:rPr>
          <w:b w:val="0"/>
          <w:i w:val="0"/>
        </w:rPr>
        <w:t>We do not cover any claim, loss, or liability:</w:t>
      </w:r>
    </w:p>
    <w:p>
      <w:bookmarkStart w:id="54" w:name="c_pi_excl_bodily_injury_and_property_dam"/>
      <w:r>
        <w:rPr>
          <w:rFonts w:ascii="Georgia" w:hAnsi="Georgia" w:eastAsia="Georgia"/>
          <w:b/>
          <w:i w:val="0"/>
          <w:color w:val="2E5C4E"/>
          <w:sz w:val="25"/>
        </w:rPr>
        <w:t>Bodily Injury and Property Damage</w:t>
      </w:r>
      <w:bookmarkEnd w:id="54"/>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5" w:name="c_pi_excl_employers_liability"/>
      <w:r>
        <w:rPr>
          <w:rFonts w:ascii="Georgia" w:hAnsi="Georgia" w:eastAsia="Georgia"/>
          <w:b/>
          <w:i w:val="0"/>
          <w:color w:val="2E5C4E"/>
          <w:sz w:val="25"/>
        </w:rPr>
        <w:t>Employer's Liability</w:t>
      </w:r>
      <w:bookmarkEnd w:id="55"/>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6" w:name="c_pi_excl_directors_and_officers_liabili"/>
      <w:r>
        <w:rPr>
          <w:rFonts w:ascii="Georgia" w:hAnsi="Georgia" w:eastAsia="Georgia"/>
          <w:b/>
          <w:i w:val="0"/>
          <w:color w:val="2E5C4E"/>
          <w:sz w:val="25"/>
        </w:rPr>
        <w:t>Directors' and Officers' Liability</w:t>
      </w:r>
      <w:bookmarkEnd w:id="56"/>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7" w:name="c_pi_excl_cyber_event"/>
      <w:r>
        <w:rPr>
          <w:rFonts w:ascii="Georgia" w:hAnsi="Georgia" w:eastAsia="Georgia"/>
          <w:b/>
          <w:i w:val="0"/>
          <w:color w:val="2E5C4E"/>
          <w:sz w:val="25"/>
        </w:rPr>
        <w:t>Cyber Event</w:t>
      </w:r>
      <w:bookmarkEnd w:id="57"/>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8" w:name="c_pi_excl_financial_services"/>
      <w:r>
        <w:rPr>
          <w:rFonts w:ascii="Georgia" w:hAnsi="Georgia" w:eastAsia="Georgia"/>
          <w:b/>
          <w:i w:val="0"/>
          <w:color w:val="2E5C4E"/>
          <w:sz w:val="25"/>
        </w:rPr>
        <w:t>Financial Services</w:t>
      </w:r>
      <w:bookmarkEnd w:id="58"/>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9" w:name="c_pi_excl_products"/>
      <w:r>
        <w:rPr>
          <w:rFonts w:ascii="Georgia" w:hAnsi="Georgia" w:eastAsia="Georgia"/>
          <w:b/>
          <w:i w:val="0"/>
          <w:color w:val="2E5C4E"/>
          <w:sz w:val="25"/>
        </w:rPr>
        <w:t>Products</w:t>
      </w:r>
      <w:bookmarkEnd w:id="59"/>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0" w:name="c_pi_excl_contractual_liability"/>
      <w:r>
        <w:rPr>
          <w:rFonts w:ascii="Georgia" w:hAnsi="Georgia" w:eastAsia="Georgia"/>
          <w:b/>
          <w:i w:val="0"/>
          <w:color w:val="2E5C4E"/>
          <w:sz w:val="25"/>
        </w:rPr>
        <w:t>Contractual Liability</w:t>
      </w:r>
      <w:bookmarkEnd w:id="60"/>
    </w:p>
    <w:p>
      <w:r>
        <w:rPr>
          <w:b w:val="0"/>
          <w:i w:val="0"/>
        </w:rPr>
        <w:t>For any liability you assume under a contract that is greater than the liability you would have at law without the contract.</w:t>
      </w:r>
    </w:p>
    <w:p>
      <w:bookmarkStart w:id="61" w:name="c_pi_re_excl_formal_valuations"/>
      <w:r>
        <w:rPr>
          <w:rFonts w:ascii="Georgia" w:hAnsi="Georgia" w:eastAsia="Georgia"/>
          <w:b/>
          <w:i w:val="0"/>
          <w:color w:val="2E5C4E"/>
          <w:sz w:val="25"/>
        </w:rPr>
        <w:t>Formal Valuations</w:t>
      </w:r>
      <w:bookmarkEnd w:id="61"/>
    </w:p>
    <w:p>
      <w:r>
        <w:rPr>
          <w:b w:val="0"/>
          <w:i w:val="0"/>
        </w:rPr>
        <w:t>Arising from a formal valuation of real property, unless the valuation was prepared by a person registered or certified as a valuer where the law requires it, and is shown in the schedule as a professional service.</w:t>
      </w:r>
    </w:p>
    <w:p>
      <w:r>
        <w:rPr>
          <w:b w:val="0"/>
          <w:i w:val="0"/>
        </w:rPr>
        <w:t>This exclusion does not apply to an appraisal or market assessment of the likely selling price or rent of a property.</w:t>
      </w:r>
    </w:p>
    <w:p>
      <w:bookmarkStart w:id="62" w:name="c_pi_excl_deliberate_and_dishonest_acts"/>
      <w:r>
        <w:rPr>
          <w:rFonts w:ascii="Georgia" w:hAnsi="Georgia" w:eastAsia="Georgia"/>
          <w:b/>
          <w:i w:val="0"/>
          <w:color w:val="2E5C4E"/>
          <w:sz w:val="25"/>
        </w:rPr>
        <w:t>Deliberate and Dishonest Acts</w:t>
      </w:r>
      <w:bookmarkEnd w:id="62"/>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3" w:name="c_pi_re_excl_trust_money_taken_by_princi"/>
      <w:r>
        <w:rPr>
          <w:rFonts w:ascii="Georgia" w:hAnsi="Georgia" w:eastAsia="Georgia"/>
          <w:b/>
          <w:i w:val="0"/>
          <w:color w:val="2E5C4E"/>
          <w:sz w:val="25"/>
        </w:rPr>
        <w:t>Trust Money Taken by Principals</w:t>
      </w:r>
      <w:bookmarkEnd w:id="63"/>
    </w:p>
    <w:p>
      <w:r>
        <w:rPr>
          <w:b w:val="0"/>
          <w:i w:val="0"/>
        </w:rPr>
        <w:t xml:space="preserve">For money held in trust that is misappropriated by a principal, director or licensee in charge of your business, or with their knowledge — but only to the extent that a </w:t>
      </w:r>
      <w:r>
        <w:rPr>
          <w:b/>
          <w:i w:val="0"/>
        </w:rPr>
        <w:t>Final adjudication</w:t>
      </w:r>
      <w:r>
        <w:rPr>
          <w:b w:val="0"/>
          <w:i w:val="0"/>
        </w:rPr>
        <w:t xml:space="preserve"> establishes the misappropriation. Until then, we will advance defence costs under </w:t>
      </w:r>
      <w:hyperlink w:anchor="c_pi_pay_defence_costs">
        <w:r>
          <w:rPr>
            <w:color w:val="2E5C4E"/>
            <w:u w:val="single"/>
          </w:rPr>
          <w:t xml:space="preserve">the Defence Costs provision</w:t>
        </w:r>
      </w:hyperlink>
      <w:r>
        <w:rPr>
          <w:b w:val="0"/>
          <w:i w:val="0"/>
        </w:rPr>
        <w:t>. If a Final adjudication then establishes the misappropriation, the defence costs advanced for it must be repaid, as that clause provides.</w:t>
      </w:r>
    </w:p>
    <w:p>
      <w:r>
        <w:rPr>
          <w:b w:val="0"/>
          <w:i w:val="0"/>
        </w:rPr>
        <w:t>This exclusion does not apply to an insured person who did not commit, condone or know of the misappropriation. That protection applies separately to each insured person.</w:t>
      </w:r>
    </w:p>
    <w:p>
      <w:r>
        <w:rPr>
          <w:b w:val="0"/>
          <w:i w:val="0"/>
        </w:rPr>
        <w:t>[WP REVIEW: confirm whether this exclusion is a permitted exclusion under the NSW licence insurance condition, and under the requirements of any other state.]</w:t>
      </w:r>
    </w:p>
    <w:p>
      <w:bookmarkStart w:id="64" w:name="c_pi_excl_prior_known_circumstances"/>
      <w:r>
        <w:rPr>
          <w:rFonts w:ascii="Georgia" w:hAnsi="Georgia" w:eastAsia="Georgia"/>
          <w:b/>
          <w:i w:val="0"/>
          <w:color w:val="2E5C4E"/>
          <w:sz w:val="25"/>
        </w:rPr>
        <w:t>Prior Known Circumstances</w:t>
      </w:r>
      <w:bookmarkEnd w:id="64"/>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5" w:name="c_pi_excl_war_terrorism_and_sanctions"/>
      <w:r>
        <w:rPr>
          <w:rFonts w:ascii="Georgia" w:hAnsi="Georgia" w:eastAsia="Georgia"/>
          <w:b/>
          <w:i w:val="0"/>
          <w:color w:val="2E5C4E"/>
          <w:sz w:val="25"/>
        </w:rPr>
        <w:t>War and Terrorism</w:t>
      </w:r>
      <w:bookmarkEnd w:id="65"/>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6" w:name="c_pi_excl_nuclear"/>
      <w:r>
        <w:rPr>
          <w:rFonts w:ascii="Georgia" w:hAnsi="Georgia" w:eastAsia="Georgia"/>
          <w:b/>
          <w:i w:val="0"/>
          <w:color w:val="2E5C4E"/>
          <w:sz w:val="25"/>
        </w:rPr>
        <w:t>Nuclear</w:t>
      </w:r>
      <w:bookmarkEnd w:id="66"/>
    </w:p>
    <w:p>
      <w:r>
        <w:rPr>
          <w:b w:val="0"/>
          <w:i w:val="0"/>
        </w:rPr>
        <w:t>Arising from nuclear reaction, radiation, or radioactive contamination, however caused.</w:t>
      </w:r>
    </w:p>
    <w:p>
      <w:bookmarkStart w:id="67" w:name="c_pi_excl_asbestos"/>
      <w:r>
        <w:rPr>
          <w:rFonts w:ascii="Georgia" w:hAnsi="Georgia" w:eastAsia="Georgia"/>
          <w:b/>
          <w:i w:val="0"/>
          <w:color w:val="2E5C4E"/>
          <w:sz w:val="25"/>
        </w:rPr>
        <w:t>Asbestos</w:t>
      </w:r>
      <w:bookmarkEnd w:id="67"/>
    </w:p>
    <w:p>
      <w:r>
        <w:rPr>
          <w:b w:val="0"/>
          <w:i w:val="0"/>
        </w:rPr>
        <w:t>Arising from or in connection with asbestos in any form, including its mining, manufacture, distribution, installation, presence, removal, or disposal.</w:t>
      </w:r>
    </w:p>
    <w:p>
      <w:bookmarkStart w:id="68" w:name="c_pi_excl_pollution"/>
      <w:r>
        <w:rPr>
          <w:rFonts w:ascii="Georgia" w:hAnsi="Georgia" w:eastAsia="Georgia"/>
          <w:b/>
          <w:i w:val="0"/>
          <w:color w:val="2E5C4E"/>
          <w:sz w:val="25"/>
        </w:rPr>
        <w:t>Pollution</w:t>
      </w:r>
      <w:bookmarkEnd w:id="68"/>
    </w:p>
    <w:p>
      <w:r>
        <w:rPr>
          <w:b w:val="0"/>
          <w:i w:val="0"/>
        </w:rPr>
        <w:t>Arising from pollution — unless the pollution is sudden, accidental, unintended, and unexpected, and results directly from your business activity.</w:t>
      </w:r>
    </w:p>
    <w:p>
      <w:bookmarkStart w:id="69" w:name="c_pi_excl_trading_debts_and_business_los"/>
      <w:r>
        <w:rPr>
          <w:rFonts w:ascii="Georgia" w:hAnsi="Georgia" w:eastAsia="Georgia"/>
          <w:b/>
          <w:i w:val="0"/>
          <w:color w:val="2E5C4E"/>
          <w:sz w:val="25"/>
        </w:rPr>
        <w:t>Trading Debts and Business Losses</w:t>
      </w:r>
      <w:bookmarkEnd w:id="69"/>
    </w:p>
    <w:p>
      <w:r>
        <w:rPr>
          <w:b w:val="0"/>
          <w:i w:val="0"/>
        </w:rPr>
        <w:t>For: (a) fees, charges, or debts owed to you; (b) your lost profit, mark-up, or overheads; (c) any trading loss or loss of any client, contract, or business opportunity; or (d) your liability for GST or any other tax.</w:t>
      </w:r>
    </w:p>
    <w:p>
      <w:bookmarkStart w:id="70" w:name="c_pi_excl_related_party_claims"/>
      <w:r>
        <w:rPr>
          <w:rFonts w:ascii="Georgia" w:hAnsi="Georgia" w:eastAsia="Georgia"/>
          <w:b/>
          <w:i w:val="0"/>
          <w:color w:val="2E5C4E"/>
          <w:sz w:val="25"/>
        </w:rPr>
        <w:t>Related Party Claims</w:t>
      </w:r>
      <w:bookmarkEnd w:id="70"/>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71" w:name="c_pi_excl_non_compensatory_payments"/>
      <w:r>
        <w:rPr>
          <w:rFonts w:ascii="Georgia" w:hAnsi="Georgia" w:eastAsia="Georgia"/>
          <w:b/>
          <w:i w:val="0"/>
          <w:color w:val="2E5C4E"/>
          <w:sz w:val="25"/>
        </w:rPr>
        <w:t>Non-Compensatory Payments</w:t>
      </w:r>
      <w:bookmarkEnd w:id="71"/>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72" w:name="c_pi_section_payment"/>
      <w:r>
        <w:rPr>
          <w:rFonts w:ascii="Georgia" w:hAnsi="Georgia" w:eastAsia="Georgia"/>
          <w:b/>
          <w:i w:val="0"/>
          <w:color w:val="1C1915"/>
          <w:sz w:val="32"/>
        </w:rPr>
        <w:t>How Much We Will Pay</w:t>
      </w:r>
      <w:bookmarkEnd w:id="72"/>
    </w:p>
    <w:p>
      <w:bookmarkStart w:id="73" w:name="c_pi_pay_limit_of_liability"/>
      <w:r>
        <w:rPr>
          <w:rFonts w:ascii="Georgia" w:hAnsi="Georgia" w:eastAsia="Georgia"/>
          <w:b/>
          <w:i w:val="0"/>
          <w:color w:val="2E5C4E"/>
          <w:sz w:val="25"/>
        </w:rPr>
        <w:t>Limit of Liability</w:t>
      </w:r>
      <w:bookmarkEnd w:id="73"/>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4" w:name="c_pi_pay_automatic_reinstatement"/>
      <w:r>
        <w:rPr>
          <w:rFonts w:ascii="Georgia" w:hAnsi="Georgia" w:eastAsia="Georgia"/>
          <w:b/>
          <w:i w:val="0"/>
          <w:color w:val="2E5C4E"/>
          <w:sz w:val="25"/>
        </w:rPr>
        <w:t>Automatic Reinstatement</w:t>
      </w:r>
      <w:bookmarkEnd w:id="74"/>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5" w:name="c_pi_pay_sub_limits"/>
      <w:r>
        <w:rPr>
          <w:rFonts w:ascii="Georgia" w:hAnsi="Georgia" w:eastAsia="Georgia"/>
          <w:b/>
          <w:i w:val="0"/>
          <w:color w:val="2E5C4E"/>
          <w:sz w:val="25"/>
        </w:rPr>
        <w:t>Sub-Limits</w:t>
      </w:r>
      <w:bookmarkEnd w:id="75"/>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6" w:name="c_pi_pay_defence_costs"/>
      <w:r>
        <w:rPr>
          <w:rFonts w:ascii="Georgia" w:hAnsi="Georgia" w:eastAsia="Georgia"/>
          <w:b/>
          <w:i w:val="0"/>
          <w:color w:val="2E5C4E"/>
          <w:sz w:val="25"/>
        </w:rPr>
        <w:t>Defence Costs</w:t>
      </w:r>
      <w:bookmarkEnd w:id="76"/>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7" w:name="c_pi_pay_excess"/>
      <w:r>
        <w:rPr>
          <w:rFonts w:ascii="Georgia" w:hAnsi="Georgia" w:eastAsia="Georgia"/>
          <w:b/>
          <w:i w:val="0"/>
          <w:color w:val="2E5C4E"/>
          <w:sz w:val="25"/>
        </w:rPr>
        <w:t>Excess</w:t>
      </w:r>
      <w:bookmarkEnd w:id="77"/>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8" w:name="c_pi_pay_other_insurance"/>
      <w:r>
        <w:rPr>
          <w:rFonts w:ascii="Georgia" w:hAnsi="Georgia" w:eastAsia="Georgia"/>
          <w:b/>
          <w:i w:val="0"/>
          <w:color w:val="2E5C4E"/>
          <w:sz w:val="25"/>
        </w:rPr>
        <w:t>Other Insurance</w:t>
      </w:r>
      <w:bookmarkEnd w:id="78"/>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9" w:name="c_pi_pay_paying_out_the_limit"/>
      <w:r>
        <w:rPr>
          <w:rFonts w:ascii="Georgia" w:hAnsi="Georgia" w:eastAsia="Georgia"/>
          <w:b/>
          <w:i w:val="0"/>
          <w:color w:val="2E5C4E"/>
          <w:sz w:val="25"/>
        </w:rPr>
        <w:t>Paying Out the Limit</w:t>
      </w:r>
      <w:bookmarkEnd w:id="79"/>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0" w:name="c_pi_pay_allocation"/>
      <w:r>
        <w:rPr>
          <w:rFonts w:ascii="Georgia" w:hAnsi="Georgia" w:eastAsia="Georgia"/>
          <w:b/>
          <w:i w:val="0"/>
          <w:color w:val="2E5C4E"/>
          <w:sz w:val="25"/>
        </w:rPr>
        <w:t>Allocation</w:t>
      </w:r>
      <w:bookmarkEnd w:id="80"/>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81" w:name="c_pi_section_obligations"/>
      <w:r>
        <w:rPr>
          <w:rFonts w:ascii="Georgia" w:hAnsi="Georgia" w:eastAsia="Georgia"/>
          <w:b/>
          <w:i w:val="0"/>
          <w:color w:val="1C1915"/>
          <w:sz w:val="32"/>
        </w:rPr>
        <w:t>Your Obligations</w:t>
      </w:r>
      <w:bookmarkEnd w:id="81"/>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2" w:name="c_pi_obl_tell_us_about_claims"/>
      <w:r>
        <w:rPr>
          <w:rFonts w:ascii="Georgia" w:hAnsi="Georgia" w:eastAsia="Georgia"/>
          <w:b/>
          <w:i w:val="0"/>
          <w:color w:val="2E5C4E"/>
          <w:sz w:val="25"/>
        </w:rPr>
        <w:t>Tell Us About Claims</w:t>
      </w:r>
      <w:bookmarkEnd w:id="82"/>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3" w:name="c_pi_obl_tell_us_about_circumstances"/>
      <w:r>
        <w:rPr>
          <w:rFonts w:ascii="Georgia" w:hAnsi="Georgia" w:eastAsia="Georgia"/>
          <w:b/>
          <w:i w:val="0"/>
          <w:color w:val="2E5C4E"/>
          <w:sz w:val="25"/>
        </w:rPr>
        <w:t>Tell Us About Circumstances</w:t>
      </w:r>
      <w:bookmarkEnd w:id="83"/>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4" w:name="c_pi_obl_do_not_admit_liability"/>
      <w:r>
        <w:rPr>
          <w:rFonts w:ascii="Georgia" w:hAnsi="Georgia" w:eastAsia="Georgia"/>
          <w:b/>
          <w:i w:val="0"/>
          <w:color w:val="2E5C4E"/>
          <w:sz w:val="25"/>
        </w:rPr>
        <w:t>Do Not Admit Liability</w:t>
      </w:r>
      <w:bookmarkEnd w:id="84"/>
    </w:p>
    <w:p>
      <w:r>
        <w:rPr>
          <w:b w:val="0"/>
          <w:i w:val="0"/>
        </w:rPr>
        <w:t>Do not admit liability, make any offer or promise to pay, or agree to settle any claim without our written consent. We will not unreasonably withhold or delay consent.</w:t>
      </w:r>
    </w:p>
    <w:p>
      <w:bookmarkStart w:id="85" w:name="c_pi_obl_cooperate_with_us"/>
      <w:r>
        <w:rPr>
          <w:rFonts w:ascii="Georgia" w:hAnsi="Georgia" w:eastAsia="Georgia"/>
          <w:b/>
          <w:i w:val="0"/>
          <w:color w:val="2E5C4E"/>
          <w:sz w:val="25"/>
        </w:rPr>
        <w:t>Cooperate With Us</w:t>
      </w:r>
      <w:bookmarkEnd w:id="85"/>
    </w:p>
    <w:p>
      <w:r>
        <w:rPr>
          <w:b w:val="0"/>
          <w:i w:val="0"/>
        </w:rPr>
        <w:t>Give us all information, documents, and assistance we reasonably need to handle the claim. Attend any meetings, examinations, or proceedings we reasonably require.</w:t>
      </w:r>
    </w:p>
    <w:p>
      <w:bookmarkStart w:id="86" w:name="c_pi_obl_mitigate_your_loss"/>
      <w:r>
        <w:rPr>
          <w:rFonts w:ascii="Georgia" w:hAnsi="Georgia" w:eastAsia="Georgia"/>
          <w:b/>
          <w:i w:val="0"/>
          <w:color w:val="2E5C4E"/>
          <w:sz w:val="25"/>
        </w:rPr>
        <w:t>Mitigate Your Loss</w:t>
      </w:r>
      <w:bookmarkEnd w:id="86"/>
    </w:p>
    <w:p>
      <w:r>
        <w:rPr>
          <w:b w:val="0"/>
          <w:i w:val="0"/>
        </w:rPr>
        <w:t>Take all reasonable steps to prevent or reduce any loss that might be covered by this policy.</w:t>
      </w:r>
    </w:p>
    <w:p>
      <w:bookmarkStart w:id="87" w:name="c_pi_obl_preserve_our_recovery_rights"/>
      <w:r>
        <w:rPr>
          <w:rFonts w:ascii="Georgia" w:hAnsi="Georgia" w:eastAsia="Georgia"/>
          <w:b/>
          <w:i w:val="0"/>
          <w:color w:val="2E5C4E"/>
          <w:sz w:val="25"/>
        </w:rPr>
        <w:t>Preserve Our Recovery Rights</w:t>
      </w:r>
      <w:bookmarkEnd w:id="87"/>
    </w:p>
    <w:p>
      <w:r>
        <w:rPr>
          <w:b w:val="0"/>
          <w:i w:val="0"/>
        </w:rPr>
        <w:t>Do not do anything after a claim is made that might prejudice our right to recover from any third party. If we pay a claim, we may take action in your name to recover what we have paid.</w:t>
      </w:r>
    </w:p>
    <w:p>
      <w:bookmarkStart w:id="88" w:name="c_pi_obl_tell_us_about_other_insurance"/>
      <w:r>
        <w:rPr>
          <w:rFonts w:ascii="Georgia" w:hAnsi="Georgia" w:eastAsia="Georgia"/>
          <w:b/>
          <w:i w:val="0"/>
          <w:color w:val="2E5C4E"/>
          <w:sz w:val="25"/>
        </w:rPr>
        <w:t>Tell Us About Other Insurance</w:t>
      </w:r>
      <w:bookmarkEnd w:id="88"/>
    </w:p>
    <w:p>
      <w:r>
        <w:rPr>
          <w:b w:val="0"/>
          <w:i w:val="0"/>
        </w:rPr>
        <w:t>Tell us about any other insurance that might cover the same loss.</w:t>
      </w:r>
    </w:p>
    <w:p>
      <w:bookmarkStart w:id="89" w:name="c_pi_obl_tell_us_about_changes"/>
      <w:r>
        <w:rPr>
          <w:rFonts w:ascii="Georgia" w:hAnsi="Georgia" w:eastAsia="Georgia"/>
          <w:b/>
          <w:i w:val="0"/>
          <w:color w:val="2E5C4E"/>
          <w:sz w:val="25"/>
        </w:rPr>
        <w:t>Tell Us About Changes</w:t>
      </w:r>
      <w:bookmarkEnd w:id="89"/>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90" w:name="c_pi_obl_individual_treatment_of_insured"/>
      <w:r>
        <w:rPr>
          <w:rFonts w:ascii="Georgia" w:hAnsi="Georgia" w:eastAsia="Georgia"/>
          <w:b/>
          <w:i w:val="0"/>
          <w:color w:val="2E5C4E"/>
          <w:sz w:val="25"/>
        </w:rPr>
        <w:t>Individual Treatment of Insured Persons</w:t>
      </w:r>
      <w:bookmarkEnd w:id="90"/>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1" w:name="c_pi_section_conditions"/>
      <w:r>
        <w:rPr>
          <w:rFonts w:ascii="Georgia" w:hAnsi="Georgia" w:eastAsia="Georgia"/>
          <w:b/>
          <w:i w:val="0"/>
          <w:color w:val="1C1915"/>
          <w:sz w:val="32"/>
        </w:rPr>
        <w:t>General Conditions</w:t>
      </w:r>
      <w:bookmarkEnd w:id="91"/>
    </w:p>
    <w:p>
      <w:bookmarkStart w:id="92" w:name="c_pi_cond_insurance_contracts_act"/>
      <w:r>
        <w:rPr>
          <w:rFonts w:ascii="Georgia" w:hAnsi="Georgia" w:eastAsia="Georgia"/>
          <w:b/>
          <w:i w:val="0"/>
          <w:color w:val="2E5C4E"/>
          <w:sz w:val="25"/>
        </w:rPr>
        <w:t>Insurance Contracts Act 1984 (Cth)</w:t>
      </w:r>
      <w:bookmarkEnd w:id="92"/>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3" w:name="c_pi_cond_your_duty_of_disclosure"/>
      <w:r>
        <w:rPr>
          <w:rFonts w:ascii="Georgia" w:hAnsi="Georgia" w:eastAsia="Georgia"/>
          <w:b/>
          <w:i w:val="0"/>
          <w:color w:val="2E5C4E"/>
          <w:sz w:val="25"/>
        </w:rPr>
        <w:t>Your Duty of Disclosure</w:t>
      </w:r>
      <w:bookmarkEnd w:id="93"/>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4" w:name="c_pi_cond_licences_registrations_and_acc"/>
      <w:r>
        <w:rPr>
          <w:rFonts w:ascii="Georgia" w:hAnsi="Georgia" w:eastAsia="Georgia"/>
          <w:b/>
          <w:i w:val="0"/>
          <w:color w:val="2E5C4E"/>
          <w:sz w:val="25"/>
        </w:rPr>
        <w:t>Licences, Registrations and Accreditations</w:t>
      </w:r>
      <w:bookmarkEnd w:id="94"/>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5" w:name="c_pi_cond_compulsory_insurance_requireme"/>
      <w:r>
        <w:rPr>
          <w:rFonts w:ascii="Georgia" w:hAnsi="Georgia" w:eastAsia="Georgia"/>
          <w:b/>
          <w:i w:val="0"/>
          <w:color w:val="2E5C4E"/>
          <w:sz w:val="25"/>
        </w:rPr>
        <w:t>Compulsory Insurance Requirements</w:t>
      </w:r>
      <w:bookmarkEnd w:id="95"/>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6" w:name="c_pi_cond_professional_standards_schemes"/>
      <w:r>
        <w:rPr>
          <w:rFonts w:ascii="Georgia" w:hAnsi="Georgia" w:eastAsia="Georgia"/>
          <w:b/>
          <w:i w:val="0"/>
          <w:color w:val="2E5C4E"/>
          <w:sz w:val="25"/>
        </w:rPr>
        <w:t>Professional Standards Schemes</w:t>
      </w:r>
      <w:bookmarkEnd w:id="96"/>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7" w:name="c_pi_cond_sanctions"/>
      <w:r>
        <w:rPr>
          <w:rFonts w:ascii="Georgia" w:hAnsi="Georgia" w:eastAsia="Georgia"/>
          <w:b/>
          <w:i w:val="0"/>
          <w:color w:val="2E5C4E"/>
          <w:sz w:val="25"/>
        </w:rPr>
        <w:t>Sanctions</w:t>
      </w:r>
      <w:bookmarkEnd w:id="97"/>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8" w:name="c_pi_cond_corporations_act_ss_199a_199b"/>
      <w:r>
        <w:rPr>
          <w:rFonts w:ascii="Georgia" w:hAnsi="Georgia" w:eastAsia="Georgia"/>
          <w:b/>
          <w:i w:val="0"/>
          <w:color w:val="2E5C4E"/>
          <w:sz w:val="25"/>
        </w:rPr>
        <w:t>Corporations Act 2001 (Cth), sections 199A and 199B</w:t>
      </w:r>
      <w:bookmarkEnd w:id="98"/>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99" w:name="c_pi_cond_cancellation"/>
      <w:r>
        <w:rPr>
          <w:rFonts w:ascii="Georgia" w:hAnsi="Georgia" w:eastAsia="Georgia"/>
          <w:b/>
          <w:i w:val="0"/>
          <w:color w:val="2E5C4E"/>
          <w:sz w:val="25"/>
        </w:rPr>
        <w:t>Cancellation</w:t>
      </w:r>
      <w:bookmarkEnd w:id="99"/>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100" w:name="c_pi_cond_governing_law"/>
      <w:r>
        <w:rPr>
          <w:rFonts w:ascii="Georgia" w:hAnsi="Georgia" w:eastAsia="Georgia"/>
          <w:b/>
          <w:i w:val="0"/>
          <w:color w:val="2E5C4E"/>
          <w:sz w:val="25"/>
        </w:rPr>
        <w:t>Governing Law</w:t>
      </w:r>
      <w:bookmarkEnd w:id="100"/>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101" w:name="c_pi_cond_jurisdiction"/>
      <w:r>
        <w:rPr>
          <w:rFonts w:ascii="Georgia" w:hAnsi="Georgia" w:eastAsia="Georgia"/>
          <w:b/>
          <w:i w:val="0"/>
          <w:color w:val="2E5C4E"/>
          <w:sz w:val="25"/>
        </w:rPr>
        <w:t>Jurisdiction</w:t>
      </w:r>
      <w:bookmarkEnd w:id="101"/>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2" w:name="c_pi_cond_gst"/>
      <w:r>
        <w:rPr>
          <w:rFonts w:ascii="Georgia" w:hAnsi="Georgia" w:eastAsia="Georgia"/>
          <w:b/>
          <w:i w:val="0"/>
          <w:color w:val="2E5C4E"/>
          <w:sz w:val="25"/>
        </w:rPr>
        <w:t>GST</w:t>
      </w:r>
      <w:bookmarkEnd w:id="102"/>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3" w:name="c_pi_cond_several_liability"/>
      <w:r>
        <w:rPr>
          <w:rFonts w:ascii="Georgia" w:hAnsi="Georgia" w:eastAsia="Georgia"/>
          <w:b/>
          <w:i w:val="0"/>
          <w:color w:val="2E5C4E"/>
          <w:sz w:val="25"/>
        </w:rPr>
        <w:t>Several Liability</w:t>
      </w:r>
      <w:bookmarkEnd w:id="103"/>
    </w:p>
    <w:p>
      <w:r>
        <w:rPr>
          <w:b w:val="0"/>
          <w:i w:val="0"/>
        </w:rPr>
        <w:t>If more than one insurer is shown in the schedule, each is responsible only for its own share. One insurer's share is not increased by the failure of another to pay.</w:t>
      </w:r>
    </w:p>
    <w:p>
      <w:bookmarkStart w:id="104" w:name="c_pi_cond_assignment"/>
      <w:r>
        <w:rPr>
          <w:rFonts w:ascii="Georgia" w:hAnsi="Georgia" w:eastAsia="Georgia"/>
          <w:b/>
          <w:i w:val="0"/>
          <w:color w:val="2E5C4E"/>
          <w:sz w:val="25"/>
        </w:rPr>
        <w:t>Assignment</w:t>
      </w:r>
      <w:bookmarkEnd w:id="104"/>
    </w:p>
    <w:p>
      <w:r>
        <w:rPr>
          <w:b w:val="0"/>
          <w:i w:val="0"/>
        </w:rPr>
        <w:t>You cannot transfer this policy to another person or entity without our prior written consent.</w:t>
      </w:r>
    </w:p>
    <w:p>
      <w:bookmarkStart w:id="105" w:name="c_pi_cond_entire_agreement"/>
      <w:r>
        <w:rPr>
          <w:rFonts w:ascii="Georgia" w:hAnsi="Georgia" w:eastAsia="Georgia"/>
          <w:b/>
          <w:i w:val="0"/>
          <w:color w:val="2E5C4E"/>
          <w:sz w:val="25"/>
        </w:rPr>
        <w:t>Entire Agreement</w:t>
      </w:r>
      <w:bookmarkEnd w:id="105"/>
    </w:p>
    <w:p>
      <w:r>
        <w:rPr>
          <w:b w:val="0"/>
          <w:i w:val="0"/>
        </w:rPr>
        <w:t>This policy, the schedule, and any endorsements form the entire agreement between you and us about this insurance. No one has authority to change this policy unless the change is recorded in an endorsement.</w:t>
      </w:r>
    </w:p>
    <w:p>
      <w:bookmarkStart w:id="106" w:name="c_pi_cond_disputes_and_complaints"/>
      <w:r>
        <w:rPr>
          <w:rFonts w:ascii="Georgia" w:hAnsi="Georgia" w:eastAsia="Georgia"/>
          <w:b/>
          <w:i w:val="0"/>
          <w:color w:val="2E5C4E"/>
          <w:sz w:val="25"/>
        </w:rPr>
        <w:t>Disputes and Complaints</w:t>
      </w:r>
      <w:bookmarkEnd w:id="106"/>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7" w:name="c_pi_cond_privacy"/>
      <w:r>
        <w:rPr>
          <w:rFonts w:ascii="Georgia" w:hAnsi="Georgia" w:eastAsia="Georgia"/>
          <w:b/>
          <w:i w:val="0"/>
          <w:color w:val="2E5C4E"/>
          <w:sz w:val="25"/>
        </w:rPr>
        <w:t>Privacy</w:t>
      </w:r>
      <w:bookmarkEnd w:id="107"/>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8" w:name="c_pi_cond_headings_and_references"/>
      <w:r>
        <w:rPr>
          <w:rFonts w:ascii="Georgia" w:hAnsi="Georgia" w:eastAsia="Georgia"/>
          <w:b/>
          <w:i w:val="0"/>
          <w:color w:val="2E5C4E"/>
          <w:sz w:val="25"/>
        </w:rPr>
        <w:t>Headings and References</w:t>
      </w:r>
      <w:bookmarkEnd w:id="108"/>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09" w:name="c_pi_claims_how_to_make_a_claim"/>
      <w:r>
        <w:rPr>
          <w:rFonts w:ascii="Georgia" w:hAnsi="Georgia" w:eastAsia="Georgia"/>
          <w:b/>
          <w:i w:val="0"/>
          <w:color w:val="1C1915"/>
          <w:sz w:val="32"/>
        </w:rPr>
        <w:t>How to Make a Claim</w:t>
      </w:r>
      <w:bookmarkEnd w:id="109"/>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10" w:name="c_pi_endorsement_library"/>
      <w:r>
        <w:rPr>
          <w:rFonts w:ascii="Georgia" w:hAnsi="Georgia" w:eastAsia="Georgia"/>
          <w:b/>
          <w:i w:val="0"/>
          <w:color w:val="1C1915"/>
          <w:sz w:val="32"/>
        </w:rPr>
        <w:t>Endorsement Library</w:t>
      </w:r>
      <w:bookmarkEnd w:id="110"/>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11" w:name="c_pi_re_library_optional_endorsements"/>
      <w:r>
        <w:rPr>
          <w:rFonts w:ascii="Georgia" w:hAnsi="Georgia" w:eastAsia="Georgia"/>
          <w:b/>
          <w:i w:val="0"/>
          <w:color w:val="1C1915"/>
          <w:sz w:val="32"/>
        </w:rPr>
        <w:t>Real Estate and Strata Endorsements</w:t>
      </w:r>
      <w:bookmarkEnd w:id="111"/>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112" w:name="c_pi_re_end_payment_redirection"/>
      <w:r>
        <w:rPr>
          <w:rFonts w:ascii="Georgia" w:hAnsi="Georgia" w:eastAsia="Georgia"/>
          <w:b/>
          <w:i w:val="0"/>
          <w:color w:val="2E5C4E"/>
          <w:sz w:val="25"/>
        </w:rPr>
        <w:t>Payment Redirection</w:t>
      </w:r>
      <w:bookmarkEnd w:id="112"/>
    </w:p>
    <w:p>
      <w:r>
        <w:rPr>
          <w:b w:val="0"/>
          <w:i w:val="0"/>
        </w:rPr>
        <w:t xml:space="preserve">Despite </w:t>
      </w:r>
      <w:hyperlink w:anchor="c_pi_excl_cyber_event">
        <w:r>
          <w:rPr>
            <w:color w:val="2E5C4E"/>
            <w:u w:val="single"/>
          </w:rPr>
          <w:t xml:space="preserve">the Cyber Event exclusion</w:t>
        </w:r>
      </w:hyperlink>
      <w:r>
        <w:rPr>
          <w:b w:val="0"/>
          <w:i w:val="0"/>
        </w:rPr>
        <w:t>, we will pay:</w:t>
      </w:r>
    </w:p>
    <w:p>
      <w:r>
        <w:rPr>
          <w:b w:val="0"/>
          <w:i w:val="0"/>
        </w:rPr>
        <w:t>(a) your liability to a client or other party; and</w:t>
      </w:r>
    </w:p>
    <w:p>
      <w:r>
        <w:rPr>
          <w:b w:val="0"/>
          <w:i w:val="0"/>
        </w:rPr>
        <w:t>(b) your direct loss of money held in trust,</w:t>
      </w:r>
    </w:p>
    <w:p>
      <w:r>
        <w:rPr>
          <w:b w:val="0"/>
          <w:i w:val="0"/>
        </w:rPr>
        <w:t>where money you hold or control is paid to a third party because of a fraudulent instruction that appears to come from a client, a party to a transaction, or a supplier.</w:t>
      </w:r>
    </w:p>
    <w:p>
      <w:r>
        <w:rPr>
          <w:b w:val="0"/>
          <w:i w:val="0"/>
        </w:rPr>
        <w:t>In assessing a claim under this endorsement, we consider whether, before making the payment, you confirmed any new or changed payment details by calling the person who appeared to give the instruction on a telephone number that you already held and did not obtain from the instruction. This is a factor in our assessment. It is not a condition of cover. If you did not confirm the details, we may reduce what we pay only by the amount that fairly represents the extent to which that failure caused or contributed to the loss. We will not refuse a claim only because you did not confirm the details.</w:t>
      </w:r>
    </w:p>
    <w:p>
      <w:r>
        <w:rPr>
          <w:b w:val="0"/>
          <w:i w:val="0"/>
        </w:rPr>
        <w:t>The most we will pay for all losses under this endorsement in the policy period is the sub-limit shown in the schedule for this endorsement, which is part of the limit of liability.</w:t>
      </w:r>
    </w:p>
    <w:p>
      <w:bookmarkStart w:id="113" w:name="c_pi_re_end_commercial_property_over_10m"/>
      <w:r>
        <w:rPr>
          <w:rFonts w:ascii="Georgia" w:hAnsi="Georgia" w:eastAsia="Georgia"/>
          <w:b/>
          <w:i w:val="0"/>
          <w:color w:val="2E5C4E"/>
          <w:sz w:val="25"/>
        </w:rPr>
        <w:t>Commercial Property Value Exclusion</w:t>
      </w:r>
      <w:bookmarkEnd w:id="113"/>
    </w:p>
    <w:p>
      <w:r>
        <w:rPr>
          <w:b w:val="0"/>
          <w:i w:val="0"/>
        </w:rPr>
        <w:t>We do not cover any claim, loss or liability arising from services for a commercial or industrial property, or a portfolio of such properties in one transaction, with a value of more than the amount shown in the schedule for this endorsement (or $10,000,000 if no amount is shown).</w:t>
      </w:r>
    </w:p>
    <w:p>
      <w:r>
        <w:rPr>
          <w:b w:val="0"/>
          <w:i w:val="0"/>
        </w:rPr>
        <w:t>This endorsement does not apply to the extent that the law requiring you to hold this insurance permits an exclusion of this kind only above a higher amount, or does not permit it.</w:t>
      </w:r>
    </w:p>
    <w:p>
      <w:r>
        <w:rPr>
          <w:b w:val="0"/>
          <w:i w:val="0"/>
        </w:rPr>
        <w:t>[WP REVIEW: confirm whether the NSW regulation prescribes the permitted threshold, so that the amount shown in the schedule cannot be lower.]</w:t>
      </w:r>
    </w:p>
    <w:p>
      <w:bookmarkStart w:id="114" w:name="c_pi_re_end_strata_defects_advice"/>
      <w:r>
        <w:rPr>
          <w:rFonts w:ascii="Georgia" w:hAnsi="Georgia" w:eastAsia="Georgia"/>
          <w:b/>
          <w:i w:val="0"/>
          <w:color w:val="2E5C4E"/>
          <w:sz w:val="25"/>
        </w:rPr>
        <w:t>Strata Defects Advice Exclusion</w:t>
      </w:r>
      <w:bookmarkEnd w:id="114"/>
    </w:p>
    <w:p>
      <w:r>
        <w:rPr>
          <w:b w:val="0"/>
          <w:i w:val="0"/>
        </w:rPr>
        <w:t>We do not cover any claim, loss or liability arising from advice you give about building defects in a strata or community scheme, or about their rectification, other than passing on advice from a qualified building professional.</w:t>
      </w:r>
    </w:p>
    <w:p>
      <w:r>
        <w:rPr>
          <w:b w:val="0"/>
          <w:i w:val="0"/>
        </w:rPr>
        <w:t>This endorsement does not apply to a claim that you failed to notify the owners corporation of a defect, or to arrange an inspection, when your agreement required it.</w:t>
      </w:r>
    </w:p>
    <w:p>
      <w:bookmarkStart w:id="115" w:name="c_pi_re_end_business_broking"/>
      <w:r>
        <w:rPr>
          <w:rFonts w:ascii="Georgia" w:hAnsi="Georgia" w:eastAsia="Georgia"/>
          <w:b/>
          <w:i w:val="0"/>
          <w:color w:val="2E5C4E"/>
          <w:sz w:val="25"/>
        </w:rPr>
        <w:t>Business Broking</w:t>
      </w:r>
      <w:bookmarkEnd w:id="115"/>
    </w:p>
    <w:p>
      <w:r>
        <w:rPr>
          <w:b w:val="0"/>
          <w:i w:val="0"/>
        </w:rPr>
        <w:t>Business broking, which means acting as agent in the sale or purchase of a business, including any real property or lease included in the sale, is a professional service under this policy, if the person who provides it holds any licence the law requires.</w:t>
      </w:r>
    </w:p>
    <w:p>
      <w:bookmarkStart w:id="116" w:name="c_pi_re_end_off_the_plan_sales"/>
      <w:r>
        <w:rPr>
          <w:rFonts w:ascii="Georgia" w:hAnsi="Georgia" w:eastAsia="Georgia"/>
          <w:b/>
          <w:i w:val="0"/>
          <w:color w:val="2E5C4E"/>
          <w:sz w:val="25"/>
        </w:rPr>
        <w:t>Off-the-Plan Sales Sub-limit</w:t>
      </w:r>
      <w:bookmarkEnd w:id="116"/>
    </w:p>
    <w:p>
      <w:r>
        <w:rPr>
          <w:b w:val="0"/>
          <w:i w:val="0"/>
        </w:rPr>
        <w:t>For all claims arising from the sale of property off the plan, the most we will pay in total, including defence costs, is the sub-limit shown in the schedule for this endorsement. The sub-limit is part of, and not in addition to, the limit of liability.</w:t>
      </w:r>
    </w:p>
    <w:p>
      <w:bookmarkStart w:id="117" w:name="c_pi_re_end_livestock_sales"/>
      <w:r>
        <w:rPr>
          <w:rFonts w:ascii="Georgia" w:hAnsi="Georgia" w:eastAsia="Georgia"/>
          <w:b/>
          <w:i w:val="0"/>
          <w:color w:val="2E5C4E"/>
          <w:sz w:val="25"/>
        </w:rPr>
        <w:t>Livestock Sales Injury and Damage Exclusion</w:t>
      </w:r>
      <w:bookmarkEnd w:id="117"/>
    </w:p>
    <w:p>
      <w:r>
        <w:rPr>
          <w:b w:val="0"/>
          <w:i w:val="0"/>
        </w:rPr>
        <w:t xml:space="preserve">Despite the exception in </w:t>
      </w:r>
      <w:hyperlink w:anchor="c_pi_excl_bodily_injury_and_property_dam">
        <w:r>
          <w:rPr>
            <w:color w:val="2E5C4E"/>
            <w:u w:val="single"/>
          </w:rPr>
          <w:t xml:space="preserve">the Bodily Injury and Property Damage exclusion</w:t>
        </w:r>
      </w:hyperlink>
      <w:r>
        <w:rPr>
          <w:b w:val="0"/>
          <w:i w:val="0"/>
        </w:rPr>
        <w:t>, we do not cover any claim for death, bodily injury or property damage caused by livestock at a sale, yard or property where you are conducting or preparing for a sale. This exposure is designed to be covered under a public liability policy.</w:t>
      </w:r>
    </w:p>
    <w:p>
      <w:bookmarkStart w:id="118" w:name="c_pi_licence_notice"/>
      <w:r>
        <w:rPr>
          <w:rFonts w:ascii="Georgia" w:hAnsi="Georgia" w:eastAsia="Georgia"/>
          <w:b/>
          <w:i w:val="0"/>
          <w:color w:val="1C1915"/>
          <w:sz w:val="32"/>
        </w:rPr>
        <w:t>Licence and Trademark Notice</w:t>
      </w:r>
      <w:bookmarkEnd w:id="118"/>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Rent Roll Acquisitions extension: the condition that no other insurance responds is removed. The Other Insurance provision applies instead. The extension now states that the retroactive date does not apply to management before you acquired the rent roll or rights. Default set for underwriter confirmation.</w:t>
      </w:r>
    </w:p>
    <w:p>
      <w:pPr>
        <w:pStyle w:val="ListBullet"/>
      </w:pPr>
      <w:r>
        <w:rPr>
          <w:b w:val="0"/>
          <w:i w:val="0"/>
        </w:rPr>
        <w:t>Payment Redirection endorsement: confirming new payment details by telephone is now a factor in assessing the claim, not a condition of cover. We may reduce payment only by the amount that fairly represents the effect of not confirming, and we will not refuse a claim only for that reason.</w:t>
      </w:r>
    </w:p>
    <w:p>
      <w:pPr>
        <w:pStyle w:val="ListBullet"/>
      </w:pPr>
      <w:r>
        <w:rPr>
          <w:b w:val="0"/>
          <w:i w:val="0"/>
        </w:rPr>
        <w:t>Trust Money Taken by Principals exclusion: now turns on a Final adjudication, with defence costs advanced and repaid if the misappropriation is established. Flagged for review against the New South Wales licence insurance condition.</w:t>
      </w:r>
    </w:p>
    <w:p>
      <w:pPr>
        <w:pStyle w:val="ListBullet"/>
      </w:pPr>
      <w:r>
        <w:rPr>
          <w:b w:val="0"/>
          <w:i w:val="0"/>
        </w:rPr>
        <w:t>Dishonesty of Employees and Agents extension: now states that it applies despite the Deliberate and Dishonest Acts exclusion, which otherwise continues to apply.</w:t>
      </w:r>
    </w:p>
    <w:p>
      <w:pPr>
        <w:pStyle w:val="ListBullet"/>
      </w:pPr>
      <w:r>
        <w:rPr>
          <w:b w:val="0"/>
          <w:i w:val="0"/>
        </w:rPr>
        <w:t>Commercial Property Value Exclusion endorsement (renamed from Commercial Property over $10 Million Exclusion): the value threshold is now a schedule item, with $10,000,000 as the default. It does not apply where the law permits an exclusion only above a higher amount. Flagged for review. Default set for underwriter confirmation.</w:t>
      </w:r>
    </w:p>
    <w:p>
      <w:r>
        <w:rPr>
          <w:b w:val="0"/>
          <w:i/>
          <w:sz w:val="18"/>
        </w:rPr>
        <w:t>Cuttleflow Systems — Open Source Insurance Wording</w:t>
      </w:r>
    </w:p>
    <w:p>
      <w:r>
        <w:rPr>
          <w:rFonts w:ascii="Consolas" w:hAnsi="Consolas" w:eastAsia="Consolas"/>
          <w:b w:val="0"/>
          <w:i w:val="0"/>
          <w:sz w:val="16"/>
        </w:rPr>
        <w:t>2026/PI/0007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2026/PI/0007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REAL ESTATE AND STRATA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Strata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