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GEOSCIENCE AND MINERAL</w:t>
      </w:r>
    </w:p>
    <w:p>
      <w:r>
        <w:rPr>
          <w:rFonts w:ascii="Georgia" w:hAnsi="Georgia" w:eastAsia="Georgia"/>
          <w:b/>
          <w:i w:val="0"/>
          <w:sz w:val="60"/>
        </w:rPr>
        <w:t>Geoscience and Mineral Professional Indemnity Insurance</w:t>
      </w:r>
    </w:p>
    <w:p>
      <w:r>
        <w:rPr>
          <w:rFonts w:ascii="Georgia" w:hAnsi="Georgia" w:eastAsia="Georgia"/>
          <w:b w:val="0"/>
          <w:i/>
          <w:color w:val="2E5C4E"/>
          <w:sz w:val="28"/>
        </w:rPr>
        <w:t>Integrated profession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Built on base wording pi-base@1.5.0-DRAFT</w:t>
      </w:r>
    </w:p>
    <w:p>
      <w:r>
        <w:rPr>
          <w:rFonts w:ascii="Consolas" w:hAnsi="Consolas" w:eastAsia="Consolas"/>
          <w:b w:val="0"/>
          <w:i w:val="0"/>
          <w:sz w:val="18"/>
        </w:rPr>
        <w:t>Document ref 2026/PI/0004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pi_about"/>
      <w:r>
        <w:rPr>
          <w:rFonts w:ascii="Georgia" w:hAnsi="Georgia" w:eastAsia="Georgia"/>
          <w:b/>
          <w:i w:val="0"/>
          <w:color w:val="1C1915"/>
          <w:sz w:val="32"/>
        </w:rPr>
        <w:t>About This Policy</w:t>
      </w:r>
      <w:bookmarkEnd w:id="0"/>
    </w:p>
    <w:p>
      <w:r>
        <w:rPr>
          <w:b w:val="0"/>
          <w:i w:val="0"/>
        </w:rPr>
        <w:t>This policy, together with your schedule and any endorsements, forms your contract of insurance with us. Please read all documents together and let us know if anything is incorrect.</w:t>
      </w:r>
    </w:p>
    <w:p>
      <w:r>
        <w:rPr>
          <w:b w:val="0"/>
          <w:i w:val="0"/>
        </w:rPr>
        <w:t xml:space="preserve">Words shown in bold have special meanings defined in </w:t>
      </w:r>
      <w:hyperlink w:anchor="c_pi_section_definitions">
        <w:r>
          <w:rPr>
            <w:color w:val="2E5C4E"/>
            <w:u w:val="single"/>
          </w:rPr>
          <w:t xml:space="preserve">the Definitions section</w:t>
        </w:r>
      </w:hyperlink>
      <w:r>
        <w:rPr>
          <w:b w:val="0"/>
          <w:i w:val="0"/>
        </w:rPr>
        <w:t>.</w:t>
      </w:r>
    </w:p>
    <w:p>
      <w:r>
        <w:rPr>
          <w:b w:val="0"/>
          <w:i w:val="0"/>
        </w:rPr>
        <w:t xml:space="preserve">This wording implements the notification-of-circumstances protection required by s.40(3) of the Insurance Contracts Act 1984 (Cth) — see </w:t>
      </w:r>
      <w:hyperlink w:anchor="c_pi_cover_notification_of_circumstances">
        <w:r>
          <w:rPr>
            <w:color w:val="2E5C4E"/>
            <w:u w:val="single"/>
          </w:rPr>
          <w:t xml:space="preserve">the Notification of Circumstances clause</w:t>
        </w:r>
      </w:hyperlink>
      <w:r>
        <w:rPr>
          <w:b w:val="0"/>
          <w:i w:val="0"/>
        </w:rPr>
        <w:t>. Before you enter into this contract, your insurer or its distributor must give you written notice of the effect of s.40(3) as required by s.40(1) of that Act.</w:t>
      </w:r>
    </w:p>
    <w:p>
      <w:bookmarkStart w:id="1" w:name="c_pi_who_this_policy_is_for"/>
      <w:r>
        <w:rPr>
          <w:rFonts w:ascii="Georgia" w:hAnsi="Georgia" w:eastAsia="Georgia"/>
          <w:b/>
          <w:i w:val="0"/>
          <w:color w:val="1C1915"/>
          <w:sz w:val="32"/>
        </w:rPr>
        <w:t>Who This Policy Is For</w:t>
      </w:r>
      <w:bookmarkEnd w:id="1"/>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w:t>
      </w:r>
    </w:p>
    <w:p>
      <w:bookmarkStart w:id="2" w:name="c_pi_version_history"/>
      <w:r>
        <w:rPr>
          <w:rFonts w:ascii="Georgia" w:hAnsi="Georgia" w:eastAsia="Georgia"/>
          <w:b/>
          <w:i w:val="0"/>
          <w:color w:val="1C1915"/>
          <w:sz w:val="32"/>
        </w:rPr>
        <w:t>Version and Document History</w:t>
      </w:r>
      <w:bookmarkEnd w:id="2"/>
    </w:p>
    <w:p>
      <w:r>
        <w:rPr>
          <w:b w:val="0"/>
          <w:i w:val="0"/>
        </w:rPr>
        <w:t>This document is version-controlled. The version and date shown on the cover page and in the footer of each page govern this text. The version stated in your schedule as current at inception applies for the life of your policy period, unless your schedule or an endorsement states otherwise.</w:t>
      </w:r>
    </w:p>
    <w:p>
      <w:bookmarkStart w:id="3" w:name="c_pi_schedule"/>
      <w:r>
        <w:rPr>
          <w:rFonts w:ascii="Georgia" w:hAnsi="Georgia" w:eastAsia="Georgia"/>
          <w:b/>
          <w:i w:val="0"/>
          <w:color w:val="1C1915"/>
          <w:sz w:val="32"/>
        </w:rPr>
        <w:t>Schedule</w:t>
      </w:r>
      <w:bookmarkEnd w:id="3"/>
    </w:p>
    <w:p>
      <w:r>
        <w:rPr>
          <w:b w:val="0"/>
          <w:i w:val="0"/>
        </w:rPr>
        <w:t>(Completed separately for each policy — contains your specific details)</w:t>
      </w:r>
    </w:p>
    <w:p>
      <w:r>
        <w:rPr>
          <w:b w:val="0"/>
          <w:i w:val="0"/>
        </w:rPr>
        <w:t>The schedule shows:</w:t>
      </w:r>
    </w:p>
    <w:p>
      <w:pPr>
        <w:pStyle w:val="ListBullet"/>
      </w:pPr>
      <w:r>
        <w:rPr>
          <w:b w:val="0"/>
          <w:i w:val="0"/>
        </w:rPr>
        <w:t>Named insured and any subsidiary</w:t>
      </w:r>
    </w:p>
    <w:p>
      <w:pPr>
        <w:pStyle w:val="ListBullet"/>
      </w:pPr>
      <w:r>
        <w:rPr>
          <w:b w:val="0"/>
          <w:i w:val="0"/>
        </w:rPr>
        <w:t>Professional services covered</w:t>
      </w:r>
    </w:p>
    <w:p>
      <w:pPr>
        <w:pStyle w:val="ListBullet"/>
      </w:pPr>
      <w:r>
        <w:rPr>
          <w:b w:val="0"/>
          <w:i w:val="0"/>
        </w:rPr>
        <w:t>Policy period — start and end dates</w:t>
      </w:r>
    </w:p>
    <w:p>
      <w:pPr>
        <w:pStyle w:val="ListBullet"/>
      </w:pPr>
      <w:r>
        <w:rPr>
          <w:b w:val="0"/>
          <w:i w:val="0"/>
        </w:rPr>
        <w:t>Retroactive date</w:t>
      </w:r>
    </w:p>
    <w:p>
      <w:pPr>
        <w:pStyle w:val="ListBullet"/>
      </w:pPr>
      <w:r>
        <w:rPr>
          <w:b w:val="0"/>
          <w:i w:val="0"/>
        </w:rPr>
        <w:t xml:space="preserve">Governing law — the State or Territory of Australia whose law governs this policy (see </w:t>
      </w:r>
      <w:hyperlink w:anchor="c_pi_cond_governing_law">
        <w:r>
          <w:rPr>
            <w:color w:val="2E5C4E"/>
            <w:u w:val="single"/>
          </w:rPr>
          <w:t xml:space="preserve">the Governing Law condition</w:t>
        </w:r>
      </w:hyperlink>
      <w:r>
        <w:rPr>
          <w:b w:val="0"/>
          <w:i w:val="0"/>
        </w:rPr>
        <w:t>)</w:t>
      </w:r>
    </w:p>
    <w:p>
      <w:pPr>
        <w:pStyle w:val="ListBullet"/>
      </w:pPr>
      <w:r>
        <w:rPr>
          <w:b w:val="0"/>
          <w:i w:val="0"/>
        </w:rPr>
        <w:t>Limit of liability — the most we will pay for all claims combined</w:t>
      </w:r>
    </w:p>
    <w:p>
      <w:pPr>
        <w:pStyle w:val="ListBullet"/>
      </w:pPr>
      <w:r>
        <w:rPr>
          <w:b w:val="0"/>
          <w:i w:val="0"/>
        </w:rPr>
        <w:t xml:space="preserve">Sub-limits — lower limits for specific cover types, including any that differ from the defaults in </w:t>
      </w:r>
      <w:hyperlink w:anchor="c_pi_pay_sub_limits">
        <w:r>
          <w:rPr>
            <w:color w:val="2E5C4E"/>
            <w:u w:val="single"/>
          </w:rPr>
          <w:t xml:space="preserve">the Sub-Limits provision</w:t>
        </w:r>
      </w:hyperlink>
    </w:p>
    <w:p>
      <w:pPr>
        <w:pStyle w:val="ListBullet"/>
      </w:pPr>
      <w:r>
        <w:rPr>
          <w:b w:val="0"/>
          <w:i w:val="0"/>
        </w:rPr>
        <w:t>Excess — the amount you pay first on each claim</w:t>
      </w:r>
    </w:p>
    <w:p>
      <w:pPr>
        <w:pStyle w:val="ListBullet"/>
      </w:pPr>
      <w:r>
        <w:rPr>
          <w:b w:val="0"/>
          <w:i w:val="0"/>
        </w:rPr>
        <w:t>Premium — including stamp duty and GST</w:t>
      </w:r>
    </w:p>
    <w:p>
      <w:pPr>
        <w:pStyle w:val="ListBullet"/>
      </w:pPr>
      <w:r>
        <w:rPr>
          <w:b w:val="0"/>
          <w:i w:val="0"/>
        </w:rPr>
        <w:t xml:space="preserve">Court attendance daily rate, if different from the policy default of $500 (see </w:t>
      </w:r>
      <w:hyperlink w:anchor="c_pi_ext_court_attendance">
        <w:r>
          <w:rPr>
            <w:color w:val="2E5C4E"/>
            <w:u w:val="single"/>
          </w:rPr>
          <w:t xml:space="preserve">the Court Attendance extension</w:t>
        </w:r>
      </w:hyperlink>
      <w:r>
        <w:rPr>
          <w:b w:val="0"/>
          <w:i w:val="0"/>
        </w:rPr>
        <w:t>)</w:t>
      </w:r>
    </w:p>
    <w:p>
      <w:pPr>
        <w:pStyle w:val="ListBullet"/>
      </w:pPr>
      <w:r>
        <w:rPr>
          <w:b w:val="0"/>
          <w:i w:val="0"/>
        </w:rPr>
        <w:t xml:space="preserve">Newly acquired subsidiary revenue threshold, if different from the policy default of $5,000,000 (see </w:t>
      </w:r>
      <w:hyperlink w:anchor="c_pi_ext_newly_acquired_subsidiaries">
        <w:r>
          <w:rPr>
            <w:color w:val="2E5C4E"/>
            <w:u w:val="single"/>
          </w:rPr>
          <w:t xml:space="preserve">the Newly Acquired Subsidiaries extension</w:t>
        </w:r>
      </w:hyperlink>
      <w:r>
        <w:rPr>
          <w:b w:val="0"/>
          <w:i w:val="0"/>
        </w:rPr>
        <w:t>)</w:t>
      </w:r>
    </w:p>
    <w:p>
      <w:pPr>
        <w:pStyle w:val="ListBullet"/>
      </w:pPr>
      <w:r>
        <w:rPr>
          <w:b w:val="0"/>
          <w:i w:val="0"/>
        </w:rPr>
        <w:t xml:space="preserve">Any compulsory insurance requirement that we know applies to you (see </w:t>
      </w:r>
      <w:hyperlink w:anchor="c_pi_cond_compulsory_insurance_requireme">
        <w:r>
          <w:rPr>
            <w:color w:val="2E5C4E"/>
            <w:u w:val="single"/>
          </w:rPr>
          <w:t xml:space="preserve">the Compulsory Insurance Requirements condition</w:t>
        </w:r>
      </w:hyperlink>
      <w:r>
        <w:rPr>
          <w:b w:val="0"/>
          <w:i w:val="0"/>
        </w:rPr>
        <w:t>)</w:t>
      </w:r>
    </w:p>
    <w:p>
      <w:pPr>
        <w:pStyle w:val="ListBullet"/>
      </w:pPr>
      <w:r>
        <w:rPr>
          <w:b w:val="0"/>
          <w:i w:val="0"/>
        </w:rPr>
        <w:t>Endorsements that change the standard terms, and any endorsement schedule (for example, the premium for a run-off extension offered and agreed under Endorsement E01)</w:t>
      </w:r>
    </w:p>
    <w:p>
      <w:bookmarkStart w:id="4" w:name="c_pi_section_definitions"/>
      <w:r>
        <w:rPr>
          <w:rFonts w:ascii="Georgia" w:hAnsi="Georgia" w:eastAsia="Georgia"/>
          <w:b/>
          <w:i w:val="0"/>
          <w:color w:val="1C1915"/>
          <w:sz w:val="32"/>
        </w:rPr>
        <w:t>Definitions</w:t>
      </w:r>
      <w:bookmarkEnd w:id="4"/>
    </w:p>
    <w:p>
      <w:r>
        <w:rPr>
          <w:b w:val="0"/>
          <w:i w:val="0"/>
        </w:rPr>
        <w:t>When the following words appear in bold in this policy, they have the meanings set out below.</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pi_def_business_activity"/>
            <w:r>
              <w:rPr>
                <w:b/>
                <w:i w:val="0"/>
              </w:rPr>
              <w:t>Business activity</w:t>
            </w:r>
            <w:bookmarkEnd w:id="5"/>
          </w:p>
        </w:tc>
        <w:tc>
          <w:tcPr>
            <w:tcW w:type="dxa" w:w="6803"/>
          </w:tcPr>
          <w:p>
            <w:r>
              <w:rPr>
                <w:b w:val="0"/>
                <w:i w:val="0"/>
              </w:rPr>
              <w:t>Your professional services, performed in the ordinary course of your business.</w:t>
            </w:r>
          </w:p>
        </w:tc>
      </w:tr>
      <w:tr>
        <w:tc>
          <w:tcPr>
            <w:tcW w:type="dxa" w:w="2608"/>
          </w:tcPr>
          <w:p>
            <w:bookmarkStart w:id="6" w:name="c_pi_def_claim"/>
            <w:r>
              <w:rPr>
                <w:b/>
                <w:i w:val="0"/>
              </w:rPr>
              <w:t>Claim</w:t>
            </w:r>
            <w:bookmarkEnd w:id="6"/>
          </w:p>
        </w:tc>
        <w:tc>
          <w:tcPr>
            <w:tcW w:type="dxa" w:w="6803"/>
          </w:tcPr>
          <w:p>
            <w:r>
              <w:rPr>
                <w:b w:val="0"/>
                <w:i w:val="0"/>
              </w:rPr>
              <w:t>(a) any written demand for compensation made against you;</w:t>
            </w:r>
          </w:p>
          <w:p>
            <w:r>
              <w:rPr>
                <w:b w:val="0"/>
                <w:i w:val="0"/>
              </w:rPr>
              <w:t>(b) any writ, summons, cross-claim, or other legal proceeding issued against you;</w:t>
            </w:r>
          </w:p>
          <w:p>
            <w:r>
              <w:rPr>
                <w:b w:val="0"/>
                <w:i w:val="0"/>
              </w:rPr>
              <w:t>(c) any formal investigation or inquiry by a regulator that could lead to a finding of personal civil liability against you;</w:t>
            </w:r>
          </w:p>
          <w:p>
            <w:r>
              <w:rPr>
                <w:b w:val="0"/>
                <w:i w:val="0"/>
              </w:rPr>
              <w:t>(d) any written assertion of a right against you under a statute that could lead to your civil liability; or</w:t>
            </w:r>
          </w:p>
          <w:p>
            <w:r>
              <w:rPr>
                <w:b w:val="0"/>
                <w:i w:val="0"/>
              </w:rPr>
              <w:t>(e) any formal complaint or proceeding before a professional disciplinary body.</w:t>
            </w:r>
          </w:p>
          <w:p>
            <w:r>
              <w:rPr>
                <w:b w:val="0"/>
                <w:i w:val="0"/>
              </w:rPr>
              <w:t>Two or more claims arising from the same, similar, or related act(s), error(s), or omission(s) are treated as a single claim first made when the earliest was first made.</w:t>
            </w:r>
          </w:p>
        </w:tc>
      </w:tr>
      <w:tr>
        <w:tc>
          <w:tcPr>
            <w:tcW w:type="dxa" w:w="2608"/>
          </w:tcPr>
          <w:p>
            <w:bookmarkStart w:id="7" w:name="c_pi_def_company"/>
            <w:r>
              <w:rPr>
                <w:b/>
                <w:i w:val="0"/>
              </w:rPr>
              <w:t>Company</w:t>
            </w:r>
            <w:bookmarkEnd w:id="7"/>
          </w:p>
        </w:tc>
        <w:tc>
          <w:tcPr>
            <w:tcW w:type="dxa" w:w="6803"/>
          </w:tcPr>
          <w:p>
            <w:r>
              <w:rPr>
                <w:b w:val="0"/>
                <w:i w:val="0"/>
              </w:rPr>
              <w:t>The entity named as the named insured in the schedule, and any subsidiary.</w:t>
            </w:r>
          </w:p>
        </w:tc>
      </w:tr>
      <w:tr>
        <w:tc>
          <w:tcPr>
            <w:tcW w:type="dxa" w:w="2608"/>
          </w:tcPr>
          <w:p>
            <w:bookmarkStart w:id="8" w:name="c_pi_def_computer_system"/>
            <w:r>
              <w:rPr>
                <w:b/>
                <w:i w:val="0"/>
              </w:rPr>
              <w:t>Computer system</w:t>
            </w:r>
            <w:bookmarkEnd w:id="8"/>
          </w:p>
        </w:tc>
        <w:tc>
          <w:tcPr>
            <w:tcW w:type="dxa" w:w="6803"/>
          </w:tcPr>
          <w:p>
            <w:r>
              <w:rPr>
                <w:b w:val="0"/>
                <w:i w:val="0"/>
              </w:rPr>
              <w:t>Any computer, network, hardware, software, data storage, or communications system — including cloud services — owned, leased, or operated on your behalf.</w:t>
            </w:r>
          </w:p>
        </w:tc>
      </w:tr>
      <w:tr>
        <w:tc>
          <w:tcPr>
            <w:tcW w:type="dxa" w:w="2608"/>
          </w:tcPr>
          <w:p>
            <w:bookmarkStart w:id="9" w:name="c_pi_def_confidential_information"/>
            <w:r>
              <w:rPr>
                <w:b/>
                <w:i w:val="0"/>
              </w:rPr>
              <w:t>Confidential information</w:t>
            </w:r>
            <w:bookmarkEnd w:id="9"/>
          </w:p>
        </w:tc>
        <w:tc>
          <w:tcPr>
            <w:tcW w:type="dxa" w:w="6803"/>
          </w:tcPr>
          <w:p>
            <w:r>
              <w:rPr>
                <w:b w:val="0"/>
                <w:i w:val="0"/>
              </w:rPr>
              <w:t>Information that is not publicly available and that a reasonable person would understand to be confidential, including information protected by law.</w:t>
            </w:r>
          </w:p>
        </w:tc>
      </w:tr>
      <w:tr>
        <w:tc>
          <w:tcPr>
            <w:tcW w:type="dxa" w:w="2608"/>
          </w:tcPr>
          <w:p>
            <w:bookmarkStart w:id="10" w:name="c_pi_def_control_group"/>
            <w:r>
              <w:rPr>
                <w:b/>
                <w:i w:val="0"/>
              </w:rPr>
              <w:t>Control group</w:t>
            </w:r>
            <w:bookmarkEnd w:id="10"/>
          </w:p>
        </w:tc>
        <w:tc>
          <w:tcPr>
            <w:tcW w:type="dxa" w:w="6803"/>
          </w:tcPr>
          <w:p>
            <w:r>
              <w:rPr>
                <w:b w:val="0"/>
                <w:i w:val="0"/>
              </w:rPr>
              <w:t>The company's chief executive officer, chief financial officer, general counsel, head of risk or insurance, and directors, or a person performing an equivalent role.</w:t>
            </w:r>
          </w:p>
        </w:tc>
      </w:tr>
      <w:tr>
        <w:tc>
          <w:tcPr>
            <w:tcW w:type="dxa" w:w="2608"/>
          </w:tcPr>
          <w:p>
            <w:bookmarkStart w:id="11" w:name="c_pi_def_defence_costs"/>
            <w:r>
              <w:rPr>
                <w:b/>
                <w:i w:val="0"/>
              </w:rPr>
              <w:t>Defence costs</w:t>
            </w:r>
            <w:bookmarkEnd w:id="11"/>
          </w:p>
        </w:tc>
        <w:tc>
          <w:tcPr>
            <w:tcW w:type="dxa" w:w="6803"/>
          </w:tcPr>
          <w:p>
            <w:r>
              <w:rPr>
                <w:b w:val="0"/>
                <w:i w:val="0"/>
              </w:rPr>
              <w:t>The reasonable legal costs and expenses incurred with our prior written consent in investigating, defending, or settling a claim. We will not unreasonably withhold or delay consent.</w:t>
            </w:r>
          </w:p>
        </w:tc>
      </w:tr>
      <w:tr>
        <w:tc>
          <w:tcPr>
            <w:tcW w:type="dxa" w:w="2608"/>
          </w:tcPr>
          <w:p>
            <w:bookmarkStart w:id="12" w:name="c_pi_def_employee"/>
            <w:r>
              <w:rPr>
                <w:b/>
                <w:i w:val="0"/>
              </w:rPr>
              <w:t>Employee</w:t>
            </w:r>
            <w:bookmarkEnd w:id="12"/>
          </w:p>
        </w:tc>
        <w:tc>
          <w:tcPr>
            <w:tcW w:type="dxa" w:w="6803"/>
          </w:tcPr>
          <w:p>
            <w:r>
              <w:rPr>
                <w:b w:val="0"/>
                <w:i w:val="0"/>
              </w:rPr>
              <w:t>Any natural person who works for you under a contract of employment, including permanent, fixed-term, and casual employees. Does not include independent contractors.</w:t>
            </w:r>
          </w:p>
        </w:tc>
      </w:tr>
      <w:tr>
        <w:tc>
          <w:tcPr>
            <w:tcW w:type="dxa" w:w="2608"/>
          </w:tcPr>
          <w:p>
            <w:bookmarkStart w:id="13" w:name="c_pi_def_endorsement"/>
            <w:r>
              <w:rPr>
                <w:b/>
                <w:i w:val="0"/>
              </w:rPr>
              <w:t>Endorsement</w:t>
            </w:r>
            <w:bookmarkEnd w:id="13"/>
          </w:p>
        </w:tc>
        <w:tc>
          <w:tcPr>
            <w:tcW w:type="dxa" w:w="6803"/>
          </w:tcPr>
          <w:p>
            <w:r>
              <w:rPr>
                <w:b w:val="0"/>
                <w:i w:val="0"/>
              </w:rPr>
              <w:t>A document attached to this policy that changes its terms.</w:t>
            </w:r>
          </w:p>
        </w:tc>
      </w:tr>
      <w:tr>
        <w:tc>
          <w:tcPr>
            <w:tcW w:type="dxa" w:w="2608"/>
          </w:tcPr>
          <w:p>
            <w:bookmarkStart w:id="14" w:name="c_pi_def_excess"/>
            <w:r>
              <w:rPr>
                <w:b/>
                <w:i w:val="0"/>
              </w:rPr>
              <w:t>Excess</w:t>
            </w:r>
            <w:bookmarkEnd w:id="14"/>
          </w:p>
        </w:tc>
        <w:tc>
          <w:tcPr>
            <w:tcW w:type="dxa" w:w="6803"/>
          </w:tcPr>
          <w:p>
            <w:r>
              <w:rPr>
                <w:b w:val="0"/>
                <w:i w:val="0"/>
              </w:rPr>
              <w:t>The amount shown in the schedule that you must pay as the first part of each claim, applied to compensation and defence costs combined unless the schedule states otherwise.</w:t>
            </w:r>
          </w:p>
        </w:tc>
      </w:tr>
      <w:tr>
        <w:tc>
          <w:tcPr>
            <w:tcW w:type="dxa" w:w="2608"/>
          </w:tcPr>
          <w:p>
            <w:bookmarkStart w:id="15" w:name="c_pi_def_final_adjudication"/>
            <w:r>
              <w:rPr>
                <w:b/>
                <w:i w:val="0"/>
              </w:rPr>
              <w:t>Final adjudication</w:t>
            </w:r>
            <w:bookmarkEnd w:id="15"/>
          </w:p>
        </w:tc>
        <w:tc>
          <w:tcPr>
            <w:tcW w:type="dxa" w:w="6803"/>
          </w:tcPr>
          <w:p>
            <w:r>
              <w:rPr>
                <w:b w:val="0"/>
                <w:i w:val="0"/>
              </w:rPr>
              <w:t>A judgment, verdict, or ruling by a court, tribunal, or arbitrator of competent jurisdiction, after the exhaustion of all appeals or the expiry of the time to appeal without an appeal being filed, that finally determines the relevant conduct. A consent order, or a settlement, compromise, or admission of fact, that does not include a judicial or arbitral determination of the relevant conduct, is not a final adjudication for the purposes of this policy.</w:t>
            </w:r>
          </w:p>
        </w:tc>
      </w:tr>
      <w:tr>
        <w:tc>
          <w:tcPr>
            <w:tcW w:type="dxa" w:w="2608"/>
          </w:tcPr>
          <w:p>
            <w:bookmarkStart w:id="16" w:name="c_pi_def_geographical_limits"/>
            <w:r>
              <w:rPr>
                <w:b/>
                <w:i w:val="0"/>
              </w:rPr>
              <w:t>Geographical limits</w:t>
            </w:r>
            <w:bookmarkEnd w:id="16"/>
          </w:p>
        </w:tc>
        <w:tc>
          <w:tcPr>
            <w:tcW w:type="dxa" w:w="6803"/>
          </w:tcPr>
          <w:p>
            <w:r>
              <w:rPr>
                <w:b w:val="0"/>
                <w:i w:val="0"/>
              </w:rPr>
              <w:t>The territory shown in the schedule.</w:t>
            </w:r>
          </w:p>
        </w:tc>
      </w:tr>
      <w:tr>
        <w:tc>
          <w:tcPr>
            <w:tcW w:type="dxa" w:w="2608"/>
          </w:tcPr>
          <w:p>
            <w:bookmarkStart w:id="17" w:name="c_pi_def_insured_person"/>
            <w:r>
              <w:rPr>
                <w:b/>
                <w:i w:val="0"/>
              </w:rPr>
              <w:t>Insured person</w:t>
            </w:r>
            <w:bookmarkEnd w:id="17"/>
          </w:p>
        </w:tc>
        <w:tc>
          <w:tcPr>
            <w:tcW w:type="dxa" w:w="6803"/>
          </w:tcPr>
          <w:p>
            <w:r>
              <w:rPr>
                <w:b w:val="0"/>
                <w:i w:val="0"/>
              </w:rPr>
              <w:t>(a) any past, present, or future partner, principal, director, officer, or member of the company;</w:t>
            </w:r>
          </w:p>
          <w:p>
            <w:r>
              <w:rPr>
                <w:b w:val="0"/>
                <w:i w:val="0"/>
              </w:rPr>
              <w:t>(b) any employee of the company; and</w:t>
            </w:r>
          </w:p>
          <w:p>
            <w:r>
              <w:rPr>
                <w:b w:val="0"/>
                <w:i w:val="0"/>
              </w:rPr>
              <w:t>(c) any person who was a partner, principal, director, officer, member, or employee of a predecessor practice that the company has acquired, merged with, or succeeded.</w:t>
            </w:r>
          </w:p>
        </w:tc>
      </w:tr>
      <w:tr>
        <w:tc>
          <w:tcPr>
            <w:tcW w:type="dxa" w:w="2608"/>
          </w:tcPr>
          <w:p>
            <w:bookmarkStart w:id="18" w:name="c_pi_def_joint_venture"/>
            <w:r>
              <w:rPr>
                <w:b/>
                <w:i w:val="0"/>
              </w:rPr>
              <w:t>Joint venture</w:t>
            </w:r>
            <w:bookmarkEnd w:id="18"/>
          </w:p>
        </w:tc>
        <w:tc>
          <w:tcPr>
            <w:tcW w:type="dxa" w:w="6803"/>
          </w:tcPr>
          <w:p>
            <w:r>
              <w:rPr>
                <w:b w:val="0"/>
                <w:i w:val="0"/>
              </w:rPr>
              <w:t>Any incorporated or unincorporated arrangement between you and one or more other parties to carry out a specific business activity, in which you hold: (a) if incorporated, more than 50% of the voting rights; or (b) if unincorporated, an interest (however described) of 50% or more in its profits, losses, or capital.</w:t>
            </w:r>
          </w:p>
        </w:tc>
      </w:tr>
      <w:tr>
        <w:tc>
          <w:tcPr>
            <w:tcW w:type="dxa" w:w="2608"/>
          </w:tcPr>
          <w:p>
            <w:bookmarkStart w:id="19" w:name="c_pi_def_limit_of_liability"/>
            <w:r>
              <w:rPr>
                <w:b/>
                <w:i w:val="0"/>
              </w:rPr>
              <w:t>Limit of liability</w:t>
            </w:r>
            <w:bookmarkEnd w:id="19"/>
          </w:p>
        </w:tc>
        <w:tc>
          <w:tcPr>
            <w:tcW w:type="dxa" w:w="6803"/>
          </w:tcPr>
          <w:p>
            <w:r>
              <w:rPr>
                <w:b w:val="0"/>
                <w:i w:val="0"/>
              </w:rPr>
              <w:t>The maximum amount shown in the schedule we will pay for all claims and defence costs combined during the policy period, unless a specific sub-limit applies.</w:t>
            </w:r>
          </w:p>
        </w:tc>
      </w:tr>
      <w:tr>
        <w:tc>
          <w:tcPr>
            <w:tcW w:type="dxa" w:w="2608"/>
          </w:tcPr>
          <w:p>
            <w:bookmarkStart w:id="20" w:name="c_pi_def_loss"/>
            <w:r>
              <w:rPr>
                <w:b/>
                <w:i w:val="0"/>
              </w:rPr>
              <w:t>Loss</w:t>
            </w:r>
            <w:bookmarkEnd w:id="20"/>
          </w:p>
        </w:tc>
        <w:tc>
          <w:tcPr>
            <w:tcW w:type="dxa" w:w="6803"/>
          </w:tcPr>
          <w:p>
            <w:r>
              <w:rPr>
                <w:b w:val="0"/>
                <w:i w:val="0"/>
              </w:rPr>
              <w:t>The amount you become legally liable to pay as compensation to a third party, including the claimant's legal costs awarded against you. Does not include fines, penalties, punitive or exemplary damages, taxes, or amounts not insurable at law.</w:t>
            </w:r>
          </w:p>
        </w:tc>
      </w:tr>
      <w:tr>
        <w:tc>
          <w:tcPr>
            <w:tcW w:type="dxa" w:w="2608"/>
          </w:tcPr>
          <w:p>
            <w:bookmarkStart w:id="21" w:name="c_pi_def_named_insured"/>
            <w:r>
              <w:rPr>
                <w:b/>
                <w:i w:val="0"/>
              </w:rPr>
              <w:t>Named insured</w:t>
            </w:r>
            <w:bookmarkEnd w:id="21"/>
          </w:p>
        </w:tc>
        <w:tc>
          <w:tcPr>
            <w:tcW w:type="dxa" w:w="6803"/>
          </w:tcPr>
          <w:p>
            <w:r>
              <w:rPr>
                <w:b w:val="0"/>
                <w:i w:val="0"/>
              </w:rPr>
              <w:t>The entity shown as the named insured in the schedule.</w:t>
            </w:r>
          </w:p>
        </w:tc>
      </w:tr>
      <w:tr>
        <w:tc>
          <w:tcPr>
            <w:tcW w:type="dxa" w:w="2608"/>
          </w:tcPr>
          <w:p>
            <w:bookmarkStart w:id="22" w:name="c_pi_def_policy_period"/>
            <w:r>
              <w:rPr>
                <w:b/>
                <w:i w:val="0"/>
              </w:rPr>
              <w:t>Policy period</w:t>
            </w:r>
            <w:bookmarkEnd w:id="22"/>
          </w:p>
        </w:tc>
        <w:tc>
          <w:tcPr>
            <w:tcW w:type="dxa" w:w="6803"/>
          </w:tcPr>
          <w:p>
            <w:r>
              <w:rPr>
                <w:b w:val="0"/>
                <w:i w:val="0"/>
              </w:rPr>
              <w:t>The period shown in the schedule, from the start date to the end date, both inclusive.</w:t>
            </w:r>
          </w:p>
        </w:tc>
      </w:tr>
      <w:tr>
        <w:tc>
          <w:tcPr>
            <w:tcW w:type="dxa" w:w="2608"/>
          </w:tcPr>
          <w:p>
            <w:bookmarkStart w:id="23" w:name="c_pi_def_pollution"/>
            <w:r>
              <w:rPr>
                <w:b/>
                <w:i w:val="0"/>
              </w:rPr>
              <w:t>Pollution</w:t>
            </w:r>
            <w:bookmarkEnd w:id="23"/>
          </w:p>
        </w:tc>
        <w:tc>
          <w:tcPr>
            <w:tcW w:type="dxa" w:w="6803"/>
          </w:tcPr>
          <w:p>
            <w:r>
              <w:rPr>
                <w:b w:val="0"/>
                <w:i w:val="0"/>
              </w:rPr>
              <w:t>Any release of, or exposure to, a substance or agent that contaminates or harms the environment, in any form (solid, liquid, gas, biological, radiological, thermal, or energy-based, including noise, vibration, and electromagnetic fields), whether actual, alleged, or threatened.</w:t>
            </w:r>
          </w:p>
        </w:tc>
      </w:tr>
      <w:tr>
        <w:tc>
          <w:tcPr>
            <w:tcW w:type="dxa" w:w="2608"/>
          </w:tcPr>
          <w:p>
            <w:bookmarkStart w:id="24" w:name="c_pi_def_predecessor_practice"/>
            <w:r>
              <w:rPr>
                <w:b/>
                <w:i w:val="0"/>
              </w:rPr>
              <w:t>Predecessor practice</w:t>
            </w:r>
            <w:bookmarkEnd w:id="24"/>
          </w:p>
        </w:tc>
        <w:tc>
          <w:tcPr>
            <w:tcW w:type="dxa" w:w="6803"/>
          </w:tcPr>
          <w:p>
            <w:r>
              <w:rPr>
                <w:b w:val="0"/>
                <w:i w:val="0"/>
              </w:rPr>
              <w:t>Any business you have acquired, merged with, or succeeded, whose professional services are the same as or similar to your business activity.</w:t>
            </w:r>
          </w:p>
        </w:tc>
      </w:tr>
      <w:tr>
        <w:tc>
          <w:tcPr>
            <w:tcW w:type="dxa" w:w="2608"/>
          </w:tcPr>
          <w:p>
            <w:bookmarkStart w:id="25" w:name="c_pi_gm_def_professional_services"/>
            <w:r>
              <w:rPr>
                <w:b/>
                <w:i w:val="0"/>
              </w:rPr>
              <w:t>Professional services</w:t>
            </w:r>
            <w:bookmarkEnd w:id="25"/>
          </w:p>
        </w:tc>
        <w:tc>
          <w:tcPr>
            <w:tcW w:type="dxa" w:w="6803"/>
          </w:tcPr>
          <w:p>
            <w:r>
              <w:rPr>
                <w:b w:val="0"/>
                <w:i w:val="0"/>
              </w:rPr>
              <w:t>The following services provided to a third party for a fee:</w:t>
            </w:r>
          </w:p>
          <w:p>
            <w:r>
              <w:rPr>
                <w:b w:val="0"/>
                <w:i w:val="0"/>
              </w:rPr>
              <w:t>(a) geological, mineral and exploration consulting;</w:t>
            </w:r>
          </w:p>
          <w:p>
            <w:r>
              <w:rPr>
                <w:b w:val="0"/>
                <w:i w:val="0"/>
              </w:rPr>
              <w:t>(b) the estimation of mineral resources and ore reserves;</w:t>
            </w:r>
          </w:p>
          <w:p>
            <w:r>
              <w:rPr>
                <w:b w:val="0"/>
                <w:i w:val="0"/>
              </w:rPr>
              <w:t>(c) the technical assessment and valuation of mineral assets;</w:t>
            </w:r>
          </w:p>
          <w:p>
            <w:r>
              <w:rPr>
                <w:b w:val="0"/>
                <w:i w:val="0"/>
              </w:rPr>
              <w:t>(d) geophysics, geochemistry and hydrogeology;</w:t>
            </w:r>
          </w:p>
          <w:p>
            <w:r>
              <w:rPr>
                <w:b w:val="0"/>
                <w:i w:val="0"/>
              </w:rPr>
              <w:t>(e) public reports, which means a report prepared for release to a securities exchange, for a disclosure document, or for any other public document about a mineral asset, and any contribution to such a report; and</w:t>
            </w:r>
          </w:p>
          <w:p>
            <w:r>
              <w:rPr>
                <w:b w:val="0"/>
                <w:i w:val="0"/>
              </w:rPr>
              <w:t>(f) any other service shown in the schedule as a professional service.</w:t>
            </w:r>
          </w:p>
          <w:p>
            <w:r>
              <w:rPr>
                <w:b w:val="0"/>
                <w:i w:val="0"/>
              </w:rPr>
              <w:t>A public report is a professional service only if each competent person or specialist who signs it on your behalf holds the professional membership that the reporting code applying to the report requires. A competent person or specialist who does not sign the report on your behalf, including one whose work you rely on, does not affect this condition.</w:t>
            </w:r>
          </w:p>
          <w:p>
            <w:r>
              <w:rPr>
                <w:b w:val="0"/>
                <w:i w:val="0"/>
              </w:rPr>
              <w:t>In this definition, a competent person is a person named in a public report as responsible for the estimate of mineral resources or ore reserves, or the exploration results, that it reports, and a specialist is a person named in a public report as responsible for a technical or valuation opinion that it reports, in each case as the reporting code applying to the report uses those terms. A reporting code is the JORC Code, the VALMIN Code or an equivalent code recognised by the Committee for Mineral Reserves International Reporting Standards (CRIRSCO).</w:t>
            </w:r>
          </w:p>
          <w:p>
            <w:hyperlink w:anchor="c_pi_excl_financial_services">
              <w:r>
                <w:rPr>
                  <w:color w:val="2E5C4E"/>
                  <w:u w:val="single"/>
                </w:rPr>
                <w:t xml:space="preserve">The Financial Services exclusion</w:t>
              </w:r>
            </w:hyperlink>
            <w:r>
              <w:rPr>
                <w:b w:val="0"/>
                <w:i w:val="0"/>
              </w:rPr>
              <w:t xml:space="preserve"> does not apply to a public report that is a professional service, unless the work involves financial product advice, dealing in a financial product or a credit activity.</w:t>
            </w:r>
          </w:p>
        </w:tc>
      </w:tr>
      <w:tr>
        <w:tc>
          <w:tcPr>
            <w:tcW w:type="dxa" w:w="2608"/>
          </w:tcPr>
          <w:p>
            <w:bookmarkStart w:id="26" w:name="c_pi_def_retroactive_date"/>
            <w:r>
              <w:rPr>
                <w:b/>
                <w:i w:val="0"/>
              </w:rPr>
              <w:t>Retroactive date</w:t>
            </w:r>
            <w:bookmarkEnd w:id="26"/>
          </w:p>
        </w:tc>
        <w:tc>
          <w:tcPr>
            <w:tcW w:type="dxa" w:w="6803"/>
          </w:tcPr>
          <w:p>
            <w:r>
              <w:rPr>
                <w:b w:val="0"/>
                <w:i w:val="0"/>
              </w:rPr>
              <w:t>The date shown in the schedule. We only cover claims arising from acts, errors, or omissions on or after this date.</w:t>
            </w:r>
          </w:p>
          <w:p>
            <w:r>
              <w:rPr>
                <w:b w:val="0"/>
                <w:i w:val="0"/>
              </w:rPr>
              <w:t>If no date is shown in the schedule, the retroactive date is the date this policy first started or, if this policy renews or replaces an earlier policy that we issued to the named insured without a break in cover, the date the earliest of those policies started.</w:t>
            </w:r>
          </w:p>
          <w:p>
            <w:r>
              <w:rPr>
                <w:b w:val="0"/>
                <w:i w:val="0"/>
              </w:rPr>
              <w:t>A date that an extension of this policy expressly sets for a particular claim applies to that claim instead of the date shown in the schedule.</w:t>
            </w:r>
          </w:p>
        </w:tc>
      </w:tr>
      <w:tr>
        <w:tc>
          <w:tcPr>
            <w:tcW w:type="dxa" w:w="2608"/>
          </w:tcPr>
          <w:p>
            <w:bookmarkStart w:id="27" w:name="c_pi_def_schedule"/>
            <w:r>
              <w:rPr>
                <w:b/>
                <w:i w:val="0"/>
              </w:rPr>
              <w:t>Schedule</w:t>
            </w:r>
            <w:bookmarkEnd w:id="27"/>
          </w:p>
        </w:tc>
        <w:tc>
          <w:tcPr>
            <w:tcW w:type="dxa" w:w="6803"/>
          </w:tcPr>
          <w:p>
            <w:r>
              <w:rPr>
                <w:b w:val="0"/>
                <w:i w:val="0"/>
              </w:rPr>
              <w:t>The document titled "Schedule" issued with this policy, as amended by any endorsement.</w:t>
            </w:r>
          </w:p>
        </w:tc>
      </w:tr>
      <w:tr>
        <w:tc>
          <w:tcPr>
            <w:tcW w:type="dxa" w:w="2608"/>
          </w:tcPr>
          <w:p>
            <w:bookmarkStart w:id="28" w:name="c_pi_def_subsidiary"/>
            <w:r>
              <w:rPr>
                <w:b/>
                <w:i w:val="0"/>
              </w:rPr>
              <w:t>Subsidiary</w:t>
            </w:r>
            <w:bookmarkEnd w:id="28"/>
          </w:p>
        </w:tc>
        <w:tc>
          <w:tcPr>
            <w:tcW w:type="dxa" w:w="6803"/>
          </w:tcPr>
          <w:p>
            <w:r>
              <w:rPr>
                <w:b w:val="0"/>
                <w:i w:val="0"/>
              </w:rPr>
              <w:t>Any entity in which the named insured holds more than 50% of the voting rights, or over which the named insured has effective management control, at the time the relevant act, error, or omission occurs.</w:t>
            </w:r>
          </w:p>
        </w:tc>
      </w:tr>
      <w:tr>
        <w:tc>
          <w:tcPr>
            <w:tcW w:type="dxa" w:w="2608"/>
          </w:tcPr>
          <w:p>
            <w:bookmarkStart w:id="29" w:name="c_pi_def_we_us_our"/>
            <w:r>
              <w:rPr>
                <w:b/>
                <w:i w:val="0"/>
              </w:rPr>
              <w:t>We / us / our</w:t>
            </w:r>
            <w:bookmarkEnd w:id="29"/>
          </w:p>
        </w:tc>
        <w:tc>
          <w:tcPr>
            <w:tcW w:type="dxa" w:w="6803"/>
          </w:tcPr>
          <w:p>
            <w:r>
              <w:rPr>
                <w:b w:val="0"/>
                <w:i w:val="0"/>
              </w:rPr>
              <w:t>The insurer named in the schedule.</w:t>
            </w:r>
          </w:p>
        </w:tc>
      </w:tr>
      <w:tr>
        <w:tc>
          <w:tcPr>
            <w:tcW w:type="dxa" w:w="2608"/>
          </w:tcPr>
          <w:p>
            <w:bookmarkStart w:id="30" w:name="c_pi_def_you_your"/>
            <w:r>
              <w:rPr>
                <w:b/>
                <w:i w:val="0"/>
              </w:rPr>
              <w:t>You / your</w:t>
            </w:r>
            <w:bookmarkEnd w:id="30"/>
          </w:p>
        </w:tc>
        <w:tc>
          <w:tcPr>
            <w:tcW w:type="dxa" w:w="6803"/>
          </w:tcPr>
          <w:p>
            <w:r>
              <w:rPr>
                <w:b w:val="0"/>
                <w:i w:val="0"/>
              </w:rPr>
              <w:t>(a) the company; and (b) any insured person.</w:t>
            </w:r>
          </w:p>
        </w:tc>
      </w:tr>
    </w:tbl>
    <w:p>
      <w:bookmarkStart w:id="31" w:name="c_pi_section_cover"/>
      <w:r>
        <w:rPr>
          <w:rFonts w:ascii="Georgia" w:hAnsi="Georgia" w:eastAsia="Georgia"/>
          <w:b/>
          <w:i w:val="0"/>
          <w:color w:val="1C1915"/>
          <w:sz w:val="32"/>
        </w:rPr>
        <w:t>What Is Covered</w:t>
      </w:r>
      <w:bookmarkEnd w:id="31"/>
    </w:p>
    <w:p>
      <w:bookmarkStart w:id="32" w:name="c_pi_cover_claims_against_you"/>
      <w:r>
        <w:rPr>
          <w:rFonts w:ascii="Georgia" w:hAnsi="Georgia" w:eastAsia="Georgia"/>
          <w:b/>
          <w:i w:val="0"/>
          <w:color w:val="2E5C4E"/>
          <w:sz w:val="25"/>
        </w:rPr>
        <w:t>Claims Against You</w:t>
      </w:r>
      <w:bookmarkEnd w:id="32"/>
    </w:p>
    <w:p>
      <w:r>
        <w:rPr>
          <w:b w:val="0"/>
          <w:i w:val="0"/>
        </w:rPr>
        <w:t>If a claim is first made against you during the policy period, and the claim arises from your business activity performed on or after the retroactive date within the geographical limits, we will pay:</w:t>
      </w:r>
    </w:p>
    <w:p>
      <w:r>
        <w:rPr>
          <w:b w:val="0"/>
          <w:i w:val="0"/>
        </w:rPr>
        <w:t>(a) any loss you become legally liable to pay; and</w:t>
      </w:r>
    </w:p>
    <w:p>
      <w:r>
        <w:rPr>
          <w:b w:val="0"/>
          <w:i w:val="0"/>
        </w:rPr>
        <w:t>(b) your defence costs,</w:t>
      </w:r>
    </w:p>
    <w:p>
      <w:r>
        <w:rPr>
          <w:b w:val="0"/>
          <w:i w:val="0"/>
        </w:rPr>
        <w:t>for any actual or alleged:</w:t>
      </w:r>
    </w:p>
    <w:p>
      <w:pPr>
        <w:pStyle w:val="ListBullet"/>
      </w:pPr>
      <w:r>
        <w:rPr>
          <w:b w:val="0"/>
          <w:i w:val="0"/>
        </w:rPr>
        <w:t>(i) negligence, breach of duty, or failure to exercise reasonable care and skill</w:t>
      </w:r>
    </w:p>
    <w:p>
      <w:pPr>
        <w:pStyle w:val="ListBullet"/>
      </w:pPr>
      <w:r>
        <w:rPr>
          <w:b w:val="0"/>
          <w:i w:val="0"/>
        </w:rPr>
        <w:t>(ii) negligent misstatement, misrepresentation, or misleading advice</w:t>
      </w:r>
    </w:p>
    <w:p>
      <w:pPr>
        <w:pStyle w:val="ListBullet"/>
      </w:pPr>
      <w:r>
        <w:rPr>
          <w:b w:val="0"/>
          <w:i w:val="0"/>
        </w:rPr>
        <w:t xml:space="preserve">(iii) breach of confidence or misuse of </w:t>
      </w:r>
      <w:r>
        <w:rPr>
          <w:b/>
          <w:i w:val="0"/>
        </w:rPr>
        <w:t>confidential information</w:t>
      </w:r>
    </w:p>
    <w:p>
      <w:pPr>
        <w:pStyle w:val="ListBullet"/>
      </w:pPr>
      <w:r>
        <w:rPr>
          <w:b w:val="0"/>
          <w:i w:val="0"/>
        </w:rPr>
        <w:t>(iv) infringement of copyright, trademark, or moral rights, or passing off</w:t>
      </w:r>
    </w:p>
    <w:p>
      <w:pPr>
        <w:pStyle w:val="ListBullet"/>
      </w:pPr>
      <w:r>
        <w:rPr>
          <w:b w:val="0"/>
          <w:i w:val="0"/>
        </w:rPr>
        <w:t>(v) unintentional defamation</w:t>
      </w:r>
    </w:p>
    <w:p>
      <w:pPr>
        <w:pStyle w:val="ListBullet"/>
      </w:pPr>
      <w:r>
        <w:rPr>
          <w:b w:val="0"/>
          <w:i w:val="0"/>
        </w:rPr>
        <w:t>(vi) breach of the Competition and Consumer Act 2010 (Cth) or any state or territory fair trading legislation, in connection with your professional services</w:t>
      </w:r>
    </w:p>
    <w:p>
      <w:pPr>
        <w:pStyle w:val="ListBullet"/>
      </w:pPr>
      <w:r>
        <w:rPr>
          <w:b w:val="0"/>
          <w:i w:val="0"/>
        </w:rPr>
        <w:t>(vii) dishonesty of your employees (where you are liable to a third party for your employee's conduct)</w:t>
      </w:r>
    </w:p>
    <w:p>
      <w:pPr>
        <w:pStyle w:val="ListBullet"/>
      </w:pPr>
      <w:r>
        <w:rPr>
          <w:b w:val="0"/>
          <w:i w:val="0"/>
        </w:rPr>
        <w:t>(viii) any other civil liability arising from your professional services</w:t>
      </w:r>
    </w:p>
    <w:p>
      <w:r>
        <w:rPr>
          <w:b w:val="0"/>
          <w:i w:val="0"/>
        </w:rPr>
        <w:t xml:space="preserve">unless excluded under </w:t>
      </w:r>
      <w:hyperlink w:anchor="c_pi_section_exclusions">
        <w:r>
          <w:rPr>
            <w:color w:val="2E5C4E"/>
            <w:u w:val="single"/>
          </w:rPr>
          <w:t xml:space="preserve">the What Is Not Covered section</w:t>
        </w:r>
      </w:hyperlink>
      <w:r>
        <w:rPr>
          <w:b w:val="0"/>
          <w:i w:val="0"/>
        </w:rPr>
        <w: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For that claim we pay only your defence costs, whether or not the allegation falls within heads (i) to (viii). We do not pay any fine, penalty, costs order in favour of the body, or cost of complying with an order, condition or direction made against you. The most we will pay for those defence costs in the policy period is the sub-limit for disciplinary defence costs in </w:t>
      </w:r>
      <w:hyperlink w:anchor="c_pi_pay_sub_limits">
        <w:r>
          <w:rPr>
            <w:color w:val="2E5C4E"/>
            <w:u w:val="single"/>
          </w:rPr>
          <w:t xml:space="preserve">the Sub-Limits provision</w:t>
        </w:r>
      </w:hyperlink>
      <w:r>
        <w:rPr>
          <w:b w:val="0"/>
          <w:i w:val="0"/>
        </w:rPr>
        <w:t xml:space="preserve">. </w:t>
      </w:r>
      <w:hyperlink w:anchor="c_pi_ext_inquiry_costs">
        <w:r>
          <w:rPr>
            <w:color w:val="2E5C4E"/>
            <w:u w:val="single"/>
          </w:rPr>
          <w:t xml:space="preserve">The Inquiry Costs extension</w:t>
        </w:r>
      </w:hyperlink>
      <w:r>
        <w:rPr>
          <w:b w:val="0"/>
          <w:i w:val="0"/>
        </w:rPr>
        <w:t xml:space="preserve"> applies to an investigation or inquiry that has not yet become a formal complaint or proceeding.</w:t>
      </w:r>
    </w:p>
    <w:p>
      <w:bookmarkStart w:id="33" w:name="c_pi_cover_notification_of_circumstances"/>
      <w:r>
        <w:rPr>
          <w:rFonts w:ascii="Georgia" w:hAnsi="Georgia" w:eastAsia="Georgia"/>
          <w:b/>
          <w:i w:val="0"/>
          <w:color w:val="2E5C4E"/>
          <w:sz w:val="25"/>
        </w:rPr>
        <w:t>Notification of Circumstances</w:t>
      </w:r>
      <w:bookmarkEnd w:id="33"/>
    </w:p>
    <w:p>
      <w:r>
        <w:rPr>
          <w:b w:val="0"/>
          <w:i w:val="0"/>
        </w:rPr>
        <w:t>If during the policy period you become aware of any fact, matter, or circumstance that might give rise to a claim against you, and you tell us about it in writing during the policy period, then any claim that later arises from those facts will be treated as a claim first made during this policy period. This clause implements s.40(3) of the Insurance Contracts Act 1984 (Cth). If that section gives you greater protection than this clause, it applies instead.</w:t>
      </w:r>
    </w:p>
    <w:p>
      <w:r>
        <w:rPr>
          <w:b w:val="0"/>
          <w:i w:val="0"/>
        </w:rPr>
        <w:t>Your written notice should include, as far as you are able: (a) the reasons why you think a claim might arise; (b) the details of the act, error, or omission involved; (c) the identity of any potential claimant (if known); and (d) an estimate of the potential value (if possible).</w:t>
      </w:r>
    </w:p>
    <w:p>
      <w:bookmarkStart w:id="34" w:name="c_pi_ext_avoiding_a_potential_claim"/>
      <w:r>
        <w:rPr>
          <w:rFonts w:ascii="Georgia" w:hAnsi="Georgia" w:eastAsia="Georgia"/>
          <w:b/>
          <w:i w:val="0"/>
          <w:color w:val="2E5C4E"/>
          <w:sz w:val="25"/>
        </w:rPr>
        <w:t>Avoiding a Potential Claim</w:t>
      </w:r>
      <w:bookmarkEnd w:id="34"/>
    </w:p>
    <w:p>
      <w:r>
        <w:rPr>
          <w:b w:val="0"/>
          <w:i w:val="0"/>
        </w:rPr>
        <w:t xml:space="preserve">This extension applies where: (a) your client disputes a fee or other amount you claim they owe for your professional services, and has given you specific reasons for that dispute that, if accepted, would found a claim against you under </w:t>
      </w:r>
      <w:hyperlink w:anchor="c_pi_cover_claims_against_you">
        <w:r>
          <w:rPr>
            <w:color w:val="2E5C4E"/>
            <w:u w:val="single"/>
          </w:rPr>
          <w:t xml:space="preserve">the Claims Against You clause</w:t>
        </w:r>
      </w:hyperlink>
      <w:r>
        <w:rPr>
          <w:b w:val="0"/>
          <w:i w:val="0"/>
        </w:rPr>
        <w:t xml:space="preserve">; (b) your client has threatened, in writing or otherwise on the record, to bring such a claim for an amount exceeding the disputed fee; and (c) we reasonably consider that paying you the disputed amount is likely to avoid that claim being made. This extension applies only if the claim you are avoiding would be covered under </w:t>
      </w:r>
      <w:hyperlink w:anchor="c_pi_cover_claims_against_you">
        <w:r>
          <w:rPr>
            <w:color w:val="2E5C4E"/>
            <w:u w:val="single"/>
          </w:rPr>
          <w:t xml:space="preserve">the Claims Against You clause</w:t>
        </w:r>
      </w:hyperlink>
      <w:r>
        <w:rPr>
          <w:b w:val="0"/>
          <w:i w:val="0"/>
        </w:rPr>
        <w:t>, including its requirement that your business activity was performed on or after the retroactive date.</w:t>
      </w:r>
    </w:p>
    <w:p>
      <w:r>
        <w:rPr>
          <w:b w:val="0"/>
          <w:i w:val="0"/>
        </w:rPr>
        <w:t>Before acting under this extension, we will give you reasonable notice of our intention and consider any objection you raise. If we proceed, we may pay you the disputed amount (above the excess), and you agree not to pursue your client for that amount.</w:t>
      </w:r>
    </w:p>
    <w:p>
      <w:r>
        <w:rPr>
          <w:b w:val="0"/>
          <w:i w:val="0"/>
        </w:rPr>
        <w:t xml:space="preserve">This extension does not limit your right to make a claim, and does not affect the trigger for a claim under </w:t>
      </w:r>
      <w:hyperlink w:anchor="c_pi_cover_claims_against_you">
        <w:r>
          <w:rPr>
            <w:color w:val="2E5C4E"/>
            <w:u w:val="single"/>
          </w:rPr>
          <w:t xml:space="preserve">the Claims Against You clause</w:t>
        </w:r>
      </w:hyperlink>
      <w:r>
        <w:rPr>
          <w:b w:val="0"/>
          <w:i w:val="0"/>
        </w:rPr>
        <w:t>, if a claim is later made despite our payment under this extension. If a claim is still made, our total payment including what we have already paid under this extension will not exceed the limit of liability. If you later recover the debt, you must repay us less your reasonable collection expenses.</w:t>
      </w:r>
    </w:p>
    <w:p>
      <w:bookmarkStart w:id="35" w:name="c_pi_section_extensions"/>
      <w:r>
        <w:rPr>
          <w:rFonts w:ascii="Georgia" w:hAnsi="Georgia" w:eastAsia="Georgia"/>
          <w:b/>
          <w:i w:val="0"/>
          <w:color w:val="1C1915"/>
          <w:sz w:val="32"/>
        </w:rPr>
        <w:t>Extensions of Cover</w:t>
      </w:r>
      <w:bookmarkEnd w:id="35"/>
    </w:p>
    <w:p>
      <w:r>
        <w:rPr>
          <w:b w:val="0"/>
          <w:i w:val="0"/>
        </w:rPr>
        <w:t>The following extensions are included automatically and are subject to the limit of liability unless a separate sub-limit is stated.</w:t>
      </w:r>
    </w:p>
    <w:p>
      <w:bookmarkStart w:id="36" w:name="c_pi_ext_loss_of_documents_and_data"/>
      <w:r>
        <w:rPr>
          <w:rFonts w:ascii="Georgia" w:hAnsi="Georgia" w:eastAsia="Georgia"/>
          <w:b/>
          <w:i w:val="0"/>
          <w:color w:val="2E5C4E"/>
          <w:sz w:val="25"/>
        </w:rPr>
        <w:t>Loss of Documents and Data</w:t>
      </w:r>
      <w:bookmarkEnd w:id="36"/>
    </w:p>
    <w:p>
      <w:r>
        <w:rPr>
          <w:b w:val="0"/>
          <w:i w:val="0"/>
        </w:rPr>
        <w:t xml:space="preserve">If during the policy period any document or electronic data necessary for your business activity — whether in tangible or electronic form — is lost, corrupted, damaged, or destroyed while in your care, custody, or control, we will pay the reasonable cost of restoring or replacing it, with our prior written consent. This extension responds regardless of whether the cause is a Cyber Event as described in </w:t>
      </w:r>
      <w:hyperlink w:anchor="c_pi_excl_cyber_event">
        <w:r>
          <w:rPr>
            <w:color w:val="2E5C4E"/>
            <w:u w:val="single"/>
          </w:rPr>
          <w:t xml:space="preserve">the Cyber Event exclusion</w:t>
        </w:r>
      </w:hyperlink>
      <w:r>
        <w:rPr>
          <w:b w:val="0"/>
          <w:i w:val="0"/>
        </w:rPr>
        <w:t>: that exclusion applies to your liability to third parties, and does not affect your own first-party cost of restoring your own documents or data under this extension.</w:t>
      </w:r>
    </w:p>
    <w:p>
      <w:bookmarkStart w:id="37" w:name="c_pi_ext_first_party_dishonesty"/>
      <w:r>
        <w:rPr>
          <w:rFonts w:ascii="Georgia" w:hAnsi="Georgia" w:eastAsia="Georgia"/>
          <w:b/>
          <w:i w:val="0"/>
          <w:color w:val="2E5C4E"/>
          <w:sz w:val="25"/>
        </w:rPr>
        <w:t>First-Party Dishonesty</w:t>
      </w:r>
      <w:bookmarkEnd w:id="37"/>
    </w:p>
    <w:p>
      <w:r>
        <w:rPr>
          <w:b w:val="0"/>
          <w:i w:val="0"/>
        </w:rPr>
        <w:t>If during the policy period you discover that an employee has caused you a direct financial loss through dishonest or fraudulent conduct — intending to cause you loss and to obtain a personal financial benefit beyond their normal compensation — we will pay your direct financial loss. We will deduct any amounts the employee owes you or any property of the employee that you hold.</w:t>
      </w:r>
    </w:p>
    <w:p>
      <w:r>
        <w:rPr>
          <w:b w:val="0"/>
          <w:i w:val="0"/>
        </w:rPr>
        <w:t xml:space="preserve">The most we will pay under this extension in the policy period is the sub-limit for first-party dishonesty in </w:t>
      </w:r>
      <w:hyperlink w:anchor="c_pi_pay_sub_limits">
        <w:r>
          <w:rPr>
            <w:color w:val="2E5C4E"/>
            <w:u w:val="single"/>
          </w:rPr>
          <w:t xml:space="preserve">the Sub-Limits provision</w:t>
        </w:r>
      </w:hyperlink>
      <w:r>
        <w:rPr>
          <w:b w:val="0"/>
          <w:i w:val="0"/>
        </w:rPr>
        <w:t>.</w:t>
      </w:r>
    </w:p>
    <w:p>
      <w:bookmarkStart w:id="38" w:name="c_pi_ext_statutory_liability"/>
      <w:r>
        <w:rPr>
          <w:rFonts w:ascii="Georgia" w:hAnsi="Georgia" w:eastAsia="Georgia"/>
          <w:b/>
          <w:i w:val="0"/>
          <w:color w:val="2E5C4E"/>
          <w:sz w:val="25"/>
        </w:rPr>
        <w:t>Statutory Liability</w:t>
      </w:r>
      <w:bookmarkEnd w:id="38"/>
    </w:p>
    <w:p>
      <w:r>
        <w:rPr>
          <w:b w:val="0"/>
          <w:i w:val="0"/>
        </w:rPr>
        <w:t xml:space="preserve">We will pay insurable fines, penalties, and defence costs arising from a prosecution or formal regulatory proceeding brought against you during the policy period under any Australian statute, in connection with your business activity performed on or after the retroactive date. The most we will pay under this extension in the policy period is the sub-limit for statutory liability in </w:t>
      </w:r>
      <w:hyperlink w:anchor="c_pi_pay_sub_limits">
        <w:r>
          <w:rPr>
            <w:color w:val="2E5C4E"/>
            <w:u w:val="single"/>
          </w:rPr>
          <w:t xml:space="preserve">the Sub-Limits provision</w:t>
        </w:r>
      </w:hyperlink>
      <w:r>
        <w:rPr>
          <w:b w:val="0"/>
          <w:i w:val="0"/>
        </w:rPr>
        <w:t>.</w:t>
      </w:r>
    </w:p>
    <w:p>
      <w:r>
        <w:rPr>
          <w:b w:val="0"/>
          <w:i w:val="0"/>
        </w:rPr>
        <w:t>We do not pay any fine or penalty that the law does not allow to be insured. In particular, we do not pay a penalty imposed under work health and safety law in a State or Territory whose law prohibits insurance of it (including New South Wales, Victoria and Queensland), and we do not pay a criminal fine.</w:t>
      </w:r>
    </w:p>
    <w:p>
      <w:r>
        <w:rPr>
          <w:b w:val="0"/>
          <w:i w:val="0"/>
        </w:rPr>
        <w:t>[WP REVIEW: confirm the list of jurisdictions that prohibit insurance of WHS penalties; library sources differ on WA and Victoria.]</w:t>
      </w:r>
    </w:p>
    <w:p>
      <w:r>
        <w:rPr>
          <w:b w:val="0"/>
          <w:i w:val="0"/>
        </w:rPr>
        <w:t xml:space="preserve">We do not pay any amount arising from conduct that a </w:t>
      </w:r>
      <w:r>
        <w:rPr>
          <w:b/>
          <w:i w:val="0"/>
        </w:rPr>
        <w:t>Final adjudication</w:t>
      </w:r>
      <w:r>
        <w:rPr>
          <w:b w:val="0"/>
          <w:i w:val="0"/>
        </w:rPr>
        <w:t xml:space="preserve"> establishes was deliberate or reckless. Until then, we advance defence costs under </w:t>
      </w:r>
      <w:hyperlink w:anchor="c_pi_pay_defence_costs">
        <w:r>
          <w:rPr>
            <w:color w:val="2E5C4E"/>
            <w:u w:val="single"/>
          </w:rPr>
          <w:t xml:space="preserve">the Defence Costs provision</w:t>
        </w:r>
      </w:hyperlink>
      <w:r>
        <w:rPr>
          <w:b w:val="0"/>
          <w:i w:val="0"/>
        </w:rPr>
        <w:t>. If a Final adjudication, or a court's finding, then establishes conduct that this policy or the law does not allow to be covered, the insured person concerned must repay the defence costs advanced for it.</w:t>
      </w:r>
    </w:p>
    <w:p>
      <w:r>
        <w:rPr>
          <w:b w:val="0"/>
          <w:i w:val="0"/>
        </w:rPr>
        <w:t xml:space="preserve">Where an insured person who is a director or officer of the company is the subject of the prosecution or proceeding, </w:t>
      </w:r>
      <w:hyperlink w:anchor="c_pi_cond_corporations_act_ss_199a_199b">
        <w:r>
          <w:rPr>
            <w:color w:val="2E5C4E"/>
            <w:u w:val="single"/>
          </w:rPr>
          <w:t xml:space="preserve">the Corporations Act 2001 (Cth), sections 199A and 199B condition</w:t>
        </w:r>
      </w:hyperlink>
      <w:r>
        <w:rPr>
          <w:b w:val="0"/>
          <w:i w:val="0"/>
        </w:rPr>
        <w:t xml:space="preserve"> also applies.</w:t>
      </w:r>
    </w:p>
    <w:p>
      <w:bookmarkStart w:id="39" w:name="c_pi_ext_inquiry_costs"/>
      <w:r>
        <w:rPr>
          <w:rFonts w:ascii="Georgia" w:hAnsi="Georgia" w:eastAsia="Georgia"/>
          <w:b/>
          <w:i w:val="0"/>
          <w:color w:val="2E5C4E"/>
          <w:sz w:val="25"/>
        </w:rPr>
        <w:t>Inquiry Costs</w:t>
      </w:r>
      <w:bookmarkEnd w:id="39"/>
    </w:p>
    <w:p>
      <w:r>
        <w:rPr>
          <w:b w:val="0"/>
          <w:i w:val="0"/>
        </w:rPr>
        <w:t>We will pay your defence costs in responding to a formal investigation or inquiry by a regulator (including ASIC, OAIC, ACCC, or a state or territory equivalent) into your conduct in connection with your business activity performed on or after the retroactive date, provided the investigation is first notified to us during the policy period.</w:t>
      </w:r>
    </w:p>
    <w:p>
      <w:r>
        <w:rPr>
          <w:b w:val="0"/>
          <w:i w:val="0"/>
        </w:rPr>
        <w:t xml:space="preserve">This extension applies to a formal investigation or inquiry that has not yet become a claim within paragraph (c) of </w:t>
      </w:r>
      <w:hyperlink w:anchor="c_pi_def_claim">
        <w:r>
          <w:rPr>
            <w:color w:val="2E5C4E"/>
            <w:u w:val="single"/>
          </w:rPr>
          <w:t xml:space="preserve">the definition of Claim</w:t>
        </w:r>
      </w:hyperlink>
      <w:r>
        <w:rPr>
          <w:b w:val="0"/>
          <w:i w:val="0"/>
        </w:rPr>
        <w:t xml:space="preserve">. If the investigation or inquiry becomes such a claim, cover for it continues under </w:t>
      </w:r>
      <w:hyperlink w:anchor="c_pi_cover_claims_against_you">
        <w:r>
          <w:rPr>
            <w:color w:val="2E5C4E"/>
            <w:u w:val="single"/>
          </w:rPr>
          <w:t xml:space="preserve">the Claims Against You clause</w:t>
        </w:r>
      </w:hyperlink>
      <w:r>
        <w:rPr>
          <w:b w:val="0"/>
          <w:i w:val="0"/>
        </w:rPr>
        <w:t xml:space="preserve"> instead of this extension, and the trigger, limit, and excess applicable to a claim apply from that point.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Cover for it is under </w:t>
      </w:r>
      <w:hyperlink w:anchor="c_pi_cover_claims_against_you">
        <w:r>
          <w:rPr>
            <w:color w:val="2E5C4E"/>
            <w:u w:val="single"/>
          </w:rPr>
          <w:t xml:space="preserve">the Claims Against You clause</w:t>
        </w:r>
      </w:hyperlink>
      <w:r>
        <w:rPr>
          <w:b w:val="0"/>
          <w:i w:val="0"/>
        </w:rPr>
        <w:t>, not this extension.</w:t>
      </w:r>
    </w:p>
    <w:p>
      <w:bookmarkStart w:id="40" w:name="c_pi_ext_continuous_cover"/>
      <w:r>
        <w:rPr>
          <w:rFonts w:ascii="Georgia" w:hAnsi="Georgia" w:eastAsia="Georgia"/>
          <w:b/>
          <w:i w:val="0"/>
          <w:color w:val="2E5C4E"/>
          <w:sz w:val="25"/>
        </w:rPr>
        <w:t>Continuous Cover</w:t>
      </w:r>
      <w:bookmarkEnd w:id="40"/>
    </w:p>
    <w:p>
      <w:r>
        <w:rPr>
          <w:b w:val="0"/>
          <w:i w:val="0"/>
        </w:rPr>
        <w:t xml:space="preserve">If a claim is made against you during the policy period and: (a) it arises from an act, error, or omission you should have notified under a previous PI policy; (b) no member of the </w:t>
      </w:r>
      <w:r>
        <w:rPr>
          <w:b/>
          <w:i w:val="0"/>
        </w:rPr>
        <w:t>control group</w:t>
      </w:r>
      <w:r>
        <w:rPr>
          <w:b w:val="0"/>
          <w:i w:val="0"/>
        </w:rPr>
        <w:t>, and no insured person who is claimed against, knew about it at the time; (c) you had continuous PI cover in the interim; and (d) this policy provides equivalent or narrower cover than the previous policy — we will cover the claim as if it had been properly notified under the previous policy, subject to the terms of this policy, except that our liability will not exceed the lower of the limit of liability under this policy and the limit of liability that applied under the previous policy at the time of the act, error, or omission.</w:t>
      </w:r>
    </w:p>
    <w:p>
      <w:bookmarkStart w:id="41" w:name="c_pi_ext_mitigation_costs"/>
      <w:r>
        <w:rPr>
          <w:rFonts w:ascii="Georgia" w:hAnsi="Georgia" w:eastAsia="Georgia"/>
          <w:b/>
          <w:i w:val="0"/>
          <w:color w:val="2E5C4E"/>
          <w:sz w:val="25"/>
        </w:rPr>
        <w:t>Mitigation Costs</w:t>
      </w:r>
      <w:bookmarkEnd w:id="41"/>
    </w:p>
    <w:p>
      <w:r>
        <w:rPr>
          <w:b w:val="0"/>
          <w:i w:val="0"/>
        </w:rPr>
        <w:t>We will pay the reasonable costs you incur, with our prior written consent, to prevent or reduce a loss that would otherwise be covered by this policy.</w:t>
      </w:r>
    </w:p>
    <w:p>
      <w:bookmarkStart w:id="42" w:name="c_pi_ext_public_relations_costs"/>
      <w:r>
        <w:rPr>
          <w:rFonts w:ascii="Georgia" w:hAnsi="Georgia" w:eastAsia="Georgia"/>
          <w:b/>
          <w:i w:val="0"/>
          <w:color w:val="2E5C4E"/>
          <w:sz w:val="25"/>
        </w:rPr>
        <w:t>Public Relations Costs</w:t>
      </w:r>
      <w:bookmarkEnd w:id="42"/>
    </w:p>
    <w:p>
      <w:r>
        <w:rPr>
          <w:b w:val="0"/>
          <w:i w:val="0"/>
        </w:rPr>
        <w:t xml:space="preserve">Following a claim covered by this policy, we will pay the reasonable costs of engaging a public relations consultant to protect or restore your professional reputation. The most we will pay under this extension in the policy period is the sub-limit for public relations costs in </w:t>
      </w:r>
      <w:hyperlink w:anchor="c_pi_pay_sub_limits">
        <w:r>
          <w:rPr>
            <w:color w:val="2E5C4E"/>
            <w:u w:val="single"/>
          </w:rPr>
          <w:t xml:space="preserve">the Sub-Limits provision</w:t>
        </w:r>
      </w:hyperlink>
      <w:r>
        <w:rPr>
          <w:b w:val="0"/>
          <w:i w:val="0"/>
        </w:rPr>
        <w:t>.</w:t>
      </w:r>
    </w:p>
    <w:p>
      <w:bookmarkStart w:id="43" w:name="c_pi_ext_court_attendance"/>
      <w:r>
        <w:rPr>
          <w:rFonts w:ascii="Georgia" w:hAnsi="Georgia" w:eastAsia="Georgia"/>
          <w:b/>
          <w:i w:val="0"/>
          <w:color w:val="2E5C4E"/>
          <w:sz w:val="25"/>
        </w:rPr>
        <w:t>Court Attendance</w:t>
      </w:r>
      <w:bookmarkEnd w:id="43"/>
    </w:p>
    <w:p>
      <w:r>
        <w:rPr>
          <w:b w:val="0"/>
          <w:i w:val="0"/>
        </w:rPr>
        <w:t xml:space="preserve">If any insured person or employee attends court, a tribunal, or an arbitration as a witness in connection with a claim covered by this policy, we will pay the amount shown in the schedule for each day or part-day of attendance required by us (or $500 for each day or part-day if no amount is shown in the schedule). The most we will pay under this extension in the policy period is the sub-limit for court attendance in </w:t>
      </w:r>
      <w:hyperlink w:anchor="c_pi_pay_sub_limits">
        <w:r>
          <w:rPr>
            <w:color w:val="2E5C4E"/>
            <w:u w:val="single"/>
          </w:rPr>
          <w:t xml:space="preserve">the Sub-Limits provision</w:t>
        </w:r>
      </w:hyperlink>
      <w:r>
        <w:rPr>
          <w:b w:val="0"/>
          <w:i w:val="0"/>
        </w:rPr>
        <w:t>.</w:t>
      </w:r>
    </w:p>
    <w:p>
      <w:bookmarkStart w:id="44" w:name="c_pi_ext_newly_acquired_subsidiaries"/>
      <w:r>
        <w:rPr>
          <w:rFonts w:ascii="Georgia" w:hAnsi="Georgia" w:eastAsia="Georgia"/>
          <w:b/>
          <w:i w:val="0"/>
          <w:color w:val="2E5C4E"/>
          <w:sz w:val="25"/>
        </w:rPr>
        <w:t>Newly Acquired Subsidiaries</w:t>
      </w:r>
      <w:bookmarkEnd w:id="44"/>
    </w:p>
    <w:p>
      <w:r>
        <w:rPr>
          <w:b w:val="0"/>
          <w:i w:val="0"/>
        </w:rPr>
        <w:t>If during the policy period you acquire or create a new subsidiary, it is automatically covered for 60 days — provided its annual revenue does not exceed the amount shown in the schedule for this purpose (or $5,000,000 if no amount is shown) and its business activity is the same as or similar to yours. You must tell us within 60 days; we may adjust the premium or terms.</w:t>
      </w:r>
    </w:p>
    <w:p>
      <w:bookmarkStart w:id="45" w:name="c_pi_ext_joint_ventures"/>
      <w:r>
        <w:rPr>
          <w:rFonts w:ascii="Georgia" w:hAnsi="Georgia" w:eastAsia="Georgia"/>
          <w:b/>
          <w:i w:val="0"/>
          <w:color w:val="2E5C4E"/>
          <w:sz w:val="25"/>
        </w:rPr>
        <w:t>Joint Ventures</w:t>
      </w:r>
      <w:bookmarkEnd w:id="45"/>
    </w:p>
    <w:p>
      <w:r>
        <w:rPr>
          <w:b w:val="0"/>
          <w:i w:val="0"/>
        </w:rPr>
        <w:t xml:space="preserve">We will cover your liability arising from a claim in connection with a </w:t>
      </w:r>
      <w:r>
        <w:rPr>
          <w:b/>
          <w:i w:val="0"/>
        </w:rPr>
        <w:t>joint venture</w:t>
      </w:r>
      <w:r>
        <w:rPr>
          <w:b w:val="0"/>
          <w:i w:val="0"/>
        </w:rPr>
        <w:t xml:space="preserve"> in which you hold an interest of 50% or more, but only to the extent that the liability arises from your own acts, errors, or omissions, or your own proportionate share of the joint venture's liability under the arrangement governing it. We do not cover liability arising solely from the acts, errors, or omissions of another joint venture participant, except to the extent you are liable for them at law and that liability arises from your business activity.</w:t>
      </w:r>
    </w:p>
    <w:p>
      <w:bookmarkStart w:id="46" w:name="c_pi_ext_predecessor_practices"/>
      <w:r>
        <w:rPr>
          <w:rFonts w:ascii="Georgia" w:hAnsi="Georgia" w:eastAsia="Georgia"/>
          <w:b/>
          <w:i w:val="0"/>
          <w:color w:val="2E5C4E"/>
          <w:sz w:val="25"/>
        </w:rPr>
        <w:t>Predecessor Practices</w:t>
      </w:r>
      <w:bookmarkEnd w:id="46"/>
    </w:p>
    <w:p>
      <w:r>
        <w:rPr>
          <w:b w:val="0"/>
          <w:i w:val="0"/>
        </w:rPr>
        <w:t>We will cover claims arising from the business activity of any predecessor practice, as if the predecessor practice's work had been performed by you.</w:t>
      </w:r>
    </w:p>
    <w:p>
      <w:bookmarkStart w:id="47" w:name="c_pi_ext_run_off_cover"/>
      <w:r>
        <w:rPr>
          <w:rFonts w:ascii="Georgia" w:hAnsi="Georgia" w:eastAsia="Georgia"/>
          <w:b/>
          <w:i w:val="0"/>
          <w:color w:val="2E5C4E"/>
          <w:sz w:val="25"/>
        </w:rPr>
        <w:t>Run-Off Cover</w:t>
      </w:r>
      <w:bookmarkEnd w:id="47"/>
    </w:p>
    <w:p>
      <w:r>
        <w:rPr>
          <w:b w:val="0"/>
          <w:i w:val="0"/>
        </w:rPr>
        <w:t>If the company permanently ceases to carry on its business activity during the policy period (for any reason other than merger or acquisition), this policy continues, without additional premium, until the end of the policy period to cover claims first made against you and notified to us before the end of the policy period. All terms, conditions, exclusions, and the limit of liability continue to apply. This clause confirms that the company ceasing to practise does not end cover before the end of the policy period. The cover under this paragraph ends at the end of the policy period and is not extended beyond that date, except as set out below. An insured person other than the company ceasing to practise does not start run-off cover under this clause.</w:t>
      </w:r>
    </w:p>
    <w:p>
      <w:r>
        <w:rPr>
          <w:b w:val="0"/>
          <w:i w:val="0"/>
        </w:rPr>
        <w:t>You may ask us for a quotation to extend cover under this policy for claims first made after the end of the policy period, for a period of up to 84 months after the end of the policy period (or such other maximum period as is shown in the schedule). We will respond to a request made under this paragraph within 30 days of receiving it. We are not obliged to offer terms for an extension, and may decline to offer an extension or may offer one on conditions we consider appropriate. If we agree to offer an extension, it is implemented under Endorsement E01, for the period, on payment of the premium, and subject to the terms shown in the schedule or endorsement schedule for that endorsement.</w:t>
      </w:r>
    </w:p>
    <w:p>
      <w:r>
        <w:rPr>
          <w:b w:val="0"/>
          <w:i w:val="0"/>
        </w:rPr>
        <w:t xml:space="preserve">Nothing in this extension affects your rights, or our obligations, under </w:t>
      </w:r>
      <w:hyperlink w:anchor="c_pi_cover_notification_of_circumstances">
        <w:r>
          <w:rPr>
            <w:color w:val="2E5C4E"/>
            <w:u w:val="single"/>
          </w:rPr>
          <w:t xml:space="preserve">the Notification of Circumstances clause</w:t>
        </w:r>
      </w:hyperlink>
      <w:r>
        <w:rPr>
          <w:b w:val="0"/>
          <w:i w:val="0"/>
        </w:rPr>
        <w:t xml:space="preserve"> or s.40(3) of the Insurance Contracts Act 1984 (Cth). A fact, matter, or circumstance you notify to us in accordance with </w:t>
      </w:r>
      <w:hyperlink w:anchor="c_pi_cover_notification_of_circumstances">
        <w:r>
          <w:rPr>
            <w:color w:val="2E5C4E"/>
            <w:u w:val="single"/>
          </w:rPr>
          <w:t xml:space="preserve">the Notification of Circumstances clause</w:t>
        </w:r>
      </w:hyperlink>
      <w:r>
        <w:rPr>
          <w:b w:val="0"/>
          <w:i w:val="0"/>
        </w:rPr>
        <w:t xml:space="preserve"> before the end of the policy period remains covered as a claim first made during the policy period, whether or not you request, or we offer or agree to, an extension of run-off cover under this clause.</w:t>
      </w:r>
    </w:p>
    <w:p>
      <w:bookmarkStart w:id="48" w:name="c_pi_ext_subcontractors_and_outsourcers"/>
      <w:r>
        <w:rPr>
          <w:rFonts w:ascii="Georgia" w:hAnsi="Georgia" w:eastAsia="Georgia"/>
          <w:b/>
          <w:i w:val="0"/>
          <w:color w:val="2E5C4E"/>
          <w:sz w:val="25"/>
        </w:rPr>
        <w:t>Subcontractors and Outsourcers</w:t>
      </w:r>
      <w:bookmarkEnd w:id="48"/>
    </w:p>
    <w:p>
      <w:r>
        <w:rPr>
          <w:b w:val="0"/>
          <w:i w:val="0"/>
        </w:rPr>
        <w:t>We will cover you for any claim arising from work performed on your behalf by a subcontractor or outsourcer, provided the work falls within your business activity.</w:t>
      </w:r>
    </w:p>
    <w:p>
      <w:bookmarkStart w:id="49" w:name="c_pi_gm_ext_contributing_competent_perso"/>
      <w:r>
        <w:rPr>
          <w:rFonts w:ascii="Georgia" w:hAnsi="Georgia" w:eastAsia="Georgia"/>
          <w:b/>
          <w:i w:val="0"/>
          <w:color w:val="2E5C4E"/>
          <w:sz w:val="25"/>
        </w:rPr>
        <w:t>Contributing Competent Persons</w:t>
      </w:r>
      <w:bookmarkEnd w:id="49"/>
    </w:p>
    <w:p>
      <w:r>
        <w:rPr>
          <w:b w:val="0"/>
          <w:i w:val="0"/>
        </w:rPr>
        <w:t>We cover you for a claim arising from your contribution to a public report signed by another competent person or specialist, to the extent that the claim arises from the part of the report that you prepared or for which you accepted responsibility.</w:t>
      </w:r>
    </w:p>
    <w:p>
      <w:bookmarkStart w:id="50" w:name="c_pi_gm_ext_securities_exchange_queries"/>
      <w:r>
        <w:rPr>
          <w:rFonts w:ascii="Georgia" w:hAnsi="Georgia" w:eastAsia="Georgia"/>
          <w:b/>
          <w:i w:val="0"/>
          <w:color w:val="2E5C4E"/>
          <w:sz w:val="25"/>
        </w:rPr>
        <w:t>Securities Exchange Queries</w:t>
      </w:r>
      <w:bookmarkEnd w:id="50"/>
    </w:p>
    <w:p>
      <w:r>
        <w:rPr>
          <w:b w:val="0"/>
          <w:i w:val="0"/>
        </w:rPr>
        <w:t xml:space="preserve">We also pay defence costs under </w:t>
      </w:r>
      <w:hyperlink w:anchor="c_pi_ext_inquiry_costs">
        <w:r>
          <w:rPr>
            <w:color w:val="2E5C4E"/>
            <w:u w:val="single"/>
          </w:rPr>
          <w:t xml:space="preserve">the Inquiry Costs extension</w:t>
        </w:r>
      </w:hyperlink>
      <w:r>
        <w:rPr>
          <w:b w:val="0"/>
          <w:i w:val="0"/>
        </w:rPr>
        <w:t xml:space="preserve"> for a written query from a securities exchange, or a formal review by ASIC, that is directed to you, requires you to respond about a public report that you prepared or contributed to, and could lead to a claim against you. For this purpose that query or review is treated as a formal investigation or inquiry by a regulator, and it must be first notified to us during the policy period.</w:t>
      </w:r>
    </w:p>
    <w:p>
      <w:r>
        <w:rPr>
          <w:b w:val="0"/>
          <w:i w:val="0"/>
        </w:rPr>
        <w:t>This extension does not cover a routine query or review that is not directed to you, or that does not require you to respond about your own work.</w:t>
      </w:r>
    </w:p>
    <w:p>
      <w:bookmarkStart w:id="51" w:name="c_pi_section_exclusions"/>
      <w:r>
        <w:rPr>
          <w:rFonts w:ascii="Georgia" w:hAnsi="Georgia" w:eastAsia="Georgia"/>
          <w:b/>
          <w:i w:val="0"/>
          <w:color w:val="1C1915"/>
          <w:sz w:val="32"/>
        </w:rPr>
        <w:t>What Is Not Covered</w:t>
      </w:r>
      <w:bookmarkEnd w:id="51"/>
    </w:p>
    <w:p>
      <w:r>
        <w:rPr>
          <w:b w:val="0"/>
          <w:i w:val="0"/>
        </w:rPr>
        <w:t>We do not cover any claim, loss, or liability:</w:t>
      </w:r>
    </w:p>
    <w:p>
      <w:bookmarkStart w:id="52" w:name="c_pi_excl_bodily_injury_and_property_dam"/>
      <w:r>
        <w:rPr>
          <w:rFonts w:ascii="Georgia" w:hAnsi="Georgia" w:eastAsia="Georgia"/>
          <w:b/>
          <w:i w:val="0"/>
          <w:color w:val="2E5C4E"/>
          <w:sz w:val="25"/>
        </w:rPr>
        <w:t>Bodily Injury and Property Damage</w:t>
      </w:r>
      <w:bookmarkEnd w:id="52"/>
    </w:p>
    <w:p>
      <w:r>
        <w:rPr>
          <w:b w:val="0"/>
          <w:i w:val="0"/>
        </w:rPr>
        <w:t>Arising from the death, bodily injury, illness, or disease of any person, or from physical loss of or damage to tangible property — unless the liability arises directly from a breach of your professional duty of care in performing your business activity.</w:t>
      </w:r>
    </w:p>
    <w:p>
      <w:bookmarkStart w:id="53" w:name="c_pi_excl_employers_liability"/>
      <w:r>
        <w:rPr>
          <w:rFonts w:ascii="Georgia" w:hAnsi="Georgia" w:eastAsia="Georgia"/>
          <w:b/>
          <w:i w:val="0"/>
          <w:color w:val="2E5C4E"/>
          <w:sz w:val="25"/>
        </w:rPr>
        <w:t>Employer's Liability</w:t>
      </w:r>
      <w:bookmarkEnd w:id="53"/>
    </w:p>
    <w:p>
      <w:r>
        <w:rPr>
          <w:b w:val="0"/>
          <w:i w:val="0"/>
        </w:rPr>
        <w:t>Arising from your obligations or conduct as an employer, including wrongful dismissal, discrimination, harassment, or breach of employment law.</w:t>
      </w:r>
    </w:p>
    <w:p>
      <w:r>
        <w:rPr>
          <w:b w:val="0"/>
          <w:i w:val="0"/>
        </w:rPr>
        <w:t>This exposure is designed to be covered under a management liability or employment practices liability policy.</w:t>
      </w:r>
    </w:p>
    <w:p>
      <w:bookmarkStart w:id="54" w:name="c_pi_excl_directors_and_officers_liabili"/>
      <w:r>
        <w:rPr>
          <w:rFonts w:ascii="Georgia" w:hAnsi="Georgia" w:eastAsia="Georgia"/>
          <w:b/>
          <w:i w:val="0"/>
          <w:color w:val="2E5C4E"/>
          <w:sz w:val="25"/>
        </w:rPr>
        <w:t>Directors' and Officers' Liability</w:t>
      </w:r>
      <w:bookmarkEnd w:id="54"/>
    </w:p>
    <w:p>
      <w:r>
        <w:rPr>
          <w:b w:val="0"/>
          <w:i w:val="0"/>
        </w:rPr>
        <w:t>Arising from an insured person's personal liability as a director or officer of any entity other than the company, or from the management of the company (as distinct from the performance of professional services for clients).</w:t>
      </w:r>
    </w:p>
    <w:p>
      <w:r>
        <w:rPr>
          <w:b w:val="0"/>
          <w:i w:val="0"/>
        </w:rPr>
        <w:t>This exposure is designed to be covered under a directors' and officers' liability policy.</w:t>
      </w:r>
    </w:p>
    <w:p>
      <w:bookmarkStart w:id="55" w:name="c_pi_excl_cyber_event"/>
      <w:r>
        <w:rPr>
          <w:rFonts w:ascii="Georgia" w:hAnsi="Georgia" w:eastAsia="Georgia"/>
          <w:b/>
          <w:i w:val="0"/>
          <w:color w:val="2E5C4E"/>
          <w:sz w:val="25"/>
        </w:rPr>
        <w:t>Cyber Event</w:t>
      </w:r>
      <w:bookmarkEnd w:id="55"/>
    </w:p>
    <w:p>
      <w:r>
        <w:rPr>
          <w:b w:val="0"/>
          <w:i w:val="0"/>
        </w:rPr>
        <w:t>Arising from: (a) unauthorised access to or interference with your computer system or data; (b) ransomware, malware, or denial-of-service attacks; (c) failure of your computer system's security; or (d) loss, theft, or unauthorised disclosure of data held electronically — unless the liability arises directly from a breach of your professional duty of care performing business activity for a client.</w:t>
      </w:r>
    </w:p>
    <w:p>
      <w:r>
        <w:rPr>
          <w:b w:val="0"/>
          <w:i w:val="0"/>
        </w:rPr>
        <w:t>This exposure is designed to be covered under a cyber insurance policy.</w:t>
      </w:r>
    </w:p>
    <w:p>
      <w:bookmarkStart w:id="56" w:name="c_pi_excl_financial_services"/>
      <w:r>
        <w:rPr>
          <w:rFonts w:ascii="Georgia" w:hAnsi="Georgia" w:eastAsia="Georgia"/>
          <w:b/>
          <w:i w:val="0"/>
          <w:color w:val="2E5C4E"/>
          <w:sz w:val="25"/>
        </w:rPr>
        <w:t>Financial Services</w:t>
      </w:r>
      <w:bookmarkEnd w:id="56"/>
    </w:p>
    <w:p>
      <w:r>
        <w:rPr>
          <w:b w:val="0"/>
          <w:i w:val="0"/>
        </w:rPr>
        <w:t>Arising from the provision of a financial service or a credit activity, including financial product advice, dealing in or arranging dealing in a financial product, funds management, and credit activities, as those terms are used in the Corporations Act 2001 (Cth) or the National Consumer Credit Protection Act 2009 (Cth).</w:t>
      </w:r>
    </w:p>
    <w:p>
      <w:r>
        <w:rPr>
          <w:b w:val="0"/>
          <w:i w:val="0"/>
        </w:rPr>
        <w:t>This exclusion does not apply to a service that is shown in the schedule as a professional service and that you are licensed or authorised to provide, including as an authorised representative or credit representative, under the Corporations Act 2001 (Cth) or the National Consumer Credit Protection Act 2009 (Cth).</w:t>
      </w:r>
    </w:p>
    <w:p>
      <w:r>
        <w:rPr>
          <w:b w:val="0"/>
          <w:i w:val="0"/>
        </w:rPr>
        <w:t>For the avoidance of doubt, this exclusion does not apply to audit, review or insolvency work, or to a report, valuation or assessment prepared for a disclosure document or a public report, where that work is shown as a professional service and does not involve financial product advice, dealing in a financial product or a credit activity.</w:t>
      </w:r>
    </w:p>
    <w:p>
      <w:r>
        <w:rPr>
          <w:b w:val="0"/>
          <w:i w:val="0"/>
        </w:rPr>
        <w:t>[WP REVIEW: confirm that limiting this exclusion to financial services and credit activities, as those terms are used in the two Acts, leaves audit, insolvency and disclosure-document work covered and does not leave a gap for activity regulated by APRA or another regulator.]</w:t>
      </w:r>
    </w:p>
    <w:p>
      <w:bookmarkStart w:id="57" w:name="c_pi_excl_products"/>
      <w:r>
        <w:rPr>
          <w:rFonts w:ascii="Georgia" w:hAnsi="Georgia" w:eastAsia="Georgia"/>
          <w:b/>
          <w:i w:val="0"/>
          <w:color w:val="2E5C4E"/>
          <w:sz w:val="25"/>
        </w:rPr>
        <w:t>Products</w:t>
      </w:r>
      <w:bookmarkEnd w:id="57"/>
    </w:p>
    <w:p>
      <w:r>
        <w:rPr>
          <w:b w:val="0"/>
          <w:i w:val="0"/>
        </w:rPr>
        <w:t>Arising from the design, manufacture, supply, distribution, sale, or recall of any tangible product.</w:t>
      </w:r>
    </w:p>
    <w:p>
      <w:r>
        <w:rPr>
          <w:b w:val="0"/>
          <w:i w:val="0"/>
        </w:rPr>
        <w:t>This exposure is designed to be covered under a products liability policy.</w:t>
      </w:r>
    </w:p>
    <w:p>
      <w:bookmarkStart w:id="58" w:name="c_pi_excl_contractual_liability"/>
      <w:r>
        <w:rPr>
          <w:rFonts w:ascii="Georgia" w:hAnsi="Georgia" w:eastAsia="Georgia"/>
          <w:b/>
          <w:i w:val="0"/>
          <w:color w:val="2E5C4E"/>
          <w:sz w:val="25"/>
        </w:rPr>
        <w:t>Contractual Liability</w:t>
      </w:r>
      <w:bookmarkEnd w:id="58"/>
    </w:p>
    <w:p>
      <w:r>
        <w:rPr>
          <w:b w:val="0"/>
          <w:i w:val="0"/>
        </w:rPr>
        <w:t>For any liability you assume under a contract that is greater than the liability you would have at law without the contract.</w:t>
      </w:r>
    </w:p>
    <w:p>
      <w:bookmarkStart w:id="59" w:name="c_pi_gm_excl_guarantees_of_grade_and_pri"/>
      <w:r>
        <w:rPr>
          <w:rFonts w:ascii="Georgia" w:hAnsi="Georgia" w:eastAsia="Georgia"/>
          <w:b/>
          <w:i w:val="0"/>
          <w:color w:val="2E5C4E"/>
          <w:sz w:val="25"/>
        </w:rPr>
        <w:t>Guarantees of Grade, Tonnage or Price</w:t>
      </w:r>
      <w:bookmarkEnd w:id="59"/>
    </w:p>
    <w:p>
      <w:r>
        <w:rPr>
          <w:b w:val="0"/>
          <w:i w:val="0"/>
        </w:rPr>
        <w:t>Arising from any guarantee or warranty that you give of the grade, tonnage, recovery or price of any mineral, or of the outcome of any exploration or mining project, except to the extent that you would have been liable without that guarantee or warranty.</w:t>
      </w:r>
    </w:p>
    <w:p>
      <w:bookmarkStart w:id="60" w:name="c_pi_excl_deliberate_and_dishonest_acts"/>
      <w:r>
        <w:rPr>
          <w:rFonts w:ascii="Georgia" w:hAnsi="Georgia" w:eastAsia="Georgia"/>
          <w:b/>
          <w:i w:val="0"/>
          <w:color w:val="2E5C4E"/>
          <w:sz w:val="25"/>
        </w:rPr>
        <w:t>Deliberate and Dishonest Acts</w:t>
      </w:r>
      <w:bookmarkEnd w:id="60"/>
    </w:p>
    <w:p>
      <w:r>
        <w:rPr>
          <w:b w:val="0"/>
          <w:i w:val="0"/>
        </w:rPr>
        <w:t xml:space="preserve">Arising from any act, error, or omission you deliberately, dishonestly, fraudulently, criminally, or maliciously commit, condone, or ignore — but only to the extent that a </w:t>
      </w:r>
      <w:r>
        <w:rPr>
          <w:b/>
          <w:i w:val="0"/>
        </w:rPr>
        <w:t>Final adjudication</w:t>
      </w:r>
      <w:r>
        <w:rPr>
          <w:b w:val="0"/>
          <w:i w:val="0"/>
        </w:rPr>
        <w:t xml:space="preserve"> establishes that you personally committed, condoned, or participated in that conduct. Until Final adjudication, we will advance defence costs under </w:t>
      </w:r>
      <w:hyperlink w:anchor="c_pi_pay_defence_costs">
        <w:r>
          <w:rPr>
            <w:color w:val="2E5C4E"/>
            <w:u w:val="single"/>
          </w:rPr>
          <w:t xml:space="preserve">the Defence Costs provision</w:t>
        </w:r>
      </w:hyperlink>
      <w:r>
        <w:rPr>
          <w:b w:val="0"/>
          <w:i w:val="0"/>
        </w:rPr>
        <w:t xml:space="preserve">. If Final adjudication then establishes that this exclusion applies, you must repay the defence costs advanced in connection with that conduct, in accordance with </w:t>
      </w:r>
      <w:hyperlink w:anchor="c_pi_pay_defence_costs">
        <w:r>
          <w:rPr>
            <w:color w:val="2E5C4E"/>
            <w:u w:val="single"/>
          </w:rPr>
          <w:t xml:space="preserve">the Defence Costs provision</w:t>
        </w:r>
      </w:hyperlink>
      <w:r>
        <w:rPr>
          <w:b w:val="0"/>
          <w:i w:val="0"/>
        </w:rPr>
        <w:t>.</w:t>
      </w:r>
    </w:p>
    <w:p>
      <w:r>
        <w:rPr>
          <w:b w:val="0"/>
          <w:i w:val="0"/>
        </w:rPr>
        <w:t xml:space="preserve">However: we will still cover any insured person who did not personally commit, condone, or participate in the conduct — this protection applies separately to each insured person, and a Final adjudication establishing the conduct against one insured person does not, of itself, establish that conduct against another insured person. This exclusion does not apply to </w:t>
      </w:r>
      <w:hyperlink w:anchor="c_pi_ext_first_party_dishonesty">
        <w:r>
          <w:rPr>
            <w:color w:val="2E5C4E"/>
            <w:u w:val="single"/>
          </w:rPr>
          <w:t xml:space="preserve">the First-Party Dishonesty extension</w:t>
        </w:r>
      </w:hyperlink>
      <w:r>
        <w:rPr>
          <w:b w:val="0"/>
          <w:i w:val="0"/>
        </w:rPr>
        <w:t xml:space="preserve"> or to the cover for dishonesty of your employees under </w:t>
      </w:r>
      <w:hyperlink w:anchor="c_pi_cover_claims_against_you">
        <w:r>
          <w:rPr>
            <w:color w:val="2E5C4E"/>
            <w:u w:val="single"/>
          </w:rPr>
          <w:t xml:space="preserve">the Claims Against You clause</w:t>
        </w:r>
      </w:hyperlink>
      <w:r>
        <w:rPr>
          <w:b w:val="0"/>
          <w:i w:val="0"/>
        </w:rPr>
        <w:t>.</w:t>
      </w:r>
    </w:p>
    <w:p>
      <w:bookmarkStart w:id="61" w:name="c_pi_excl_prior_known_circumstances"/>
      <w:r>
        <w:rPr>
          <w:rFonts w:ascii="Georgia" w:hAnsi="Georgia" w:eastAsia="Georgia"/>
          <w:b/>
          <w:i w:val="0"/>
          <w:color w:val="2E5C4E"/>
          <w:sz w:val="25"/>
        </w:rPr>
        <w:t>Prior Known Circumstances</w:t>
      </w:r>
      <w:bookmarkEnd w:id="61"/>
    </w:p>
    <w:p>
      <w:r>
        <w:rPr>
          <w:b w:val="0"/>
          <w:i w:val="0"/>
        </w:rPr>
        <w:t xml:space="preserve">Arising from any fact, matter, or circumstance that a member of the </w:t>
      </w:r>
      <w:r>
        <w:rPr>
          <w:b/>
          <w:i w:val="0"/>
        </w:rPr>
        <w:t>control group</w:t>
      </w:r>
      <w:r>
        <w:rPr>
          <w:b w:val="0"/>
          <w:i w:val="0"/>
        </w:rPr>
        <w:t>, or the insured person seeking cover, knew about or ought reasonably to have known about before the start of this policy period (or before we first agreed to insure you, if earlier), and that the person knew, or ought reasonably to have known, might lead to a claim against you.</w:t>
      </w:r>
    </w:p>
    <w:p>
      <w:r>
        <w:rPr>
          <w:b w:val="0"/>
          <w:i w:val="0"/>
        </w:rPr>
        <w:t xml:space="preserve">This exclusion applies to the company on the knowledge of a member of the control group, and to an insured person on that insured person's own knowledge. The knowledge of one insured person is not imputed to another insured person: see </w:t>
      </w:r>
      <w:hyperlink w:anchor="c_pi_obl_individual_treatment_of_insured">
        <w:r>
          <w:rPr>
            <w:color w:val="2E5C4E"/>
            <w:u w:val="single"/>
          </w:rPr>
          <w:t xml:space="preserve">the Individual Treatment of Insured Persons obligation</w:t>
        </w:r>
      </w:hyperlink>
      <w:r>
        <w:rPr>
          <w:b w:val="0"/>
          <w:i w:val="0"/>
        </w:rPr>
        <w:t>.</w:t>
      </w:r>
    </w:p>
    <w:p>
      <w:bookmarkStart w:id="62" w:name="c_pi_excl_war_terrorism_and_sanctions"/>
      <w:r>
        <w:rPr>
          <w:rFonts w:ascii="Georgia" w:hAnsi="Georgia" w:eastAsia="Georgia"/>
          <w:b/>
          <w:i w:val="0"/>
          <w:color w:val="2E5C4E"/>
          <w:sz w:val="25"/>
        </w:rPr>
        <w:t>War and Terrorism</w:t>
      </w:r>
      <w:bookmarkEnd w:id="62"/>
    </w:p>
    <w:p>
      <w:r>
        <w:rPr>
          <w:b w:val="0"/>
          <w:i w:val="0"/>
        </w:rPr>
        <w:t>Arising from: (a) war (whether or not declared), invasion, hostilities, rebellion, revolution, insurrection, civil unrest, or the use or usurpation of military power, or any similar belligerent act; or (b) terrorism as defined by relevant Australian or foreign law.</w:t>
      </w:r>
    </w:p>
    <w:p>
      <w:r>
        <w:rPr>
          <w:b w:val="0"/>
          <w:i w:val="0"/>
        </w:rPr>
        <w:t xml:space="preserve">Sanctions are dealt with in </w:t>
      </w:r>
      <w:hyperlink w:anchor="c_pi_cond_sanctions">
        <w:r>
          <w:rPr>
            <w:color w:val="2E5C4E"/>
            <w:u w:val="single"/>
          </w:rPr>
          <w:t xml:space="preserve">the Sanctions condition</w:t>
        </w:r>
      </w:hyperlink>
      <w:r>
        <w:rPr>
          <w:b w:val="0"/>
          <w:i w:val="0"/>
        </w:rPr>
        <w:t>.</w:t>
      </w:r>
    </w:p>
    <w:p>
      <w:bookmarkStart w:id="63" w:name="c_pi_excl_nuclear"/>
      <w:r>
        <w:rPr>
          <w:rFonts w:ascii="Georgia" w:hAnsi="Georgia" w:eastAsia="Georgia"/>
          <w:b/>
          <w:i w:val="0"/>
          <w:color w:val="2E5C4E"/>
          <w:sz w:val="25"/>
        </w:rPr>
        <w:t>Nuclear</w:t>
      </w:r>
      <w:bookmarkEnd w:id="63"/>
    </w:p>
    <w:p>
      <w:r>
        <w:rPr>
          <w:b w:val="0"/>
          <w:i w:val="0"/>
        </w:rPr>
        <w:t>Arising from nuclear reaction, radiation, or radioactive contamination, however caused.</w:t>
      </w:r>
    </w:p>
    <w:p>
      <w:bookmarkStart w:id="64" w:name="c_pi_excl_asbestos"/>
      <w:r>
        <w:rPr>
          <w:rFonts w:ascii="Georgia" w:hAnsi="Georgia" w:eastAsia="Georgia"/>
          <w:b/>
          <w:i w:val="0"/>
          <w:color w:val="2E5C4E"/>
          <w:sz w:val="25"/>
        </w:rPr>
        <w:t>Asbestos</w:t>
      </w:r>
      <w:bookmarkEnd w:id="64"/>
    </w:p>
    <w:p>
      <w:r>
        <w:rPr>
          <w:b w:val="0"/>
          <w:i w:val="0"/>
        </w:rPr>
        <w:t>Arising from or in connection with asbestos in any form, including its mining, manufacture, distribution, installation, presence, removal, or disposal.</w:t>
      </w:r>
    </w:p>
    <w:p>
      <w:bookmarkStart w:id="65" w:name="c_pi_excl_pollution"/>
      <w:r>
        <w:rPr>
          <w:rFonts w:ascii="Georgia" w:hAnsi="Georgia" w:eastAsia="Georgia"/>
          <w:b/>
          <w:i w:val="0"/>
          <w:color w:val="2E5C4E"/>
          <w:sz w:val="25"/>
        </w:rPr>
        <w:t>Pollution</w:t>
      </w:r>
      <w:bookmarkEnd w:id="65"/>
    </w:p>
    <w:p>
      <w:r>
        <w:rPr>
          <w:b w:val="0"/>
          <w:i w:val="0"/>
        </w:rPr>
        <w:t>Arising from pollution — unless the pollution is sudden, accidental, unintended, and unexpected, and results directly from your business activity.</w:t>
      </w:r>
    </w:p>
    <w:p>
      <w:bookmarkStart w:id="66" w:name="c_pi_excl_trading_debts_and_business_los"/>
      <w:r>
        <w:rPr>
          <w:rFonts w:ascii="Georgia" w:hAnsi="Georgia" w:eastAsia="Georgia"/>
          <w:b/>
          <w:i w:val="0"/>
          <w:color w:val="2E5C4E"/>
          <w:sz w:val="25"/>
        </w:rPr>
        <w:t>Trading Debts and Business Losses</w:t>
      </w:r>
      <w:bookmarkEnd w:id="66"/>
    </w:p>
    <w:p>
      <w:r>
        <w:rPr>
          <w:b w:val="0"/>
          <w:i w:val="0"/>
        </w:rPr>
        <w:t>For: (a) fees, charges, or debts owed to you; (b) your lost profit, mark-up, or overheads; (c) any trading loss or loss of any client, contract, or business opportunity; or (d) your liability for GST or any other tax.</w:t>
      </w:r>
    </w:p>
    <w:p>
      <w:bookmarkStart w:id="67" w:name="c_pi_excl_related_party_claims"/>
      <w:r>
        <w:rPr>
          <w:rFonts w:ascii="Georgia" w:hAnsi="Georgia" w:eastAsia="Georgia"/>
          <w:b/>
          <w:i w:val="0"/>
          <w:color w:val="2E5C4E"/>
          <w:sz w:val="25"/>
        </w:rPr>
        <w:t>Related Party Claims</w:t>
      </w:r>
      <w:bookmarkEnd w:id="67"/>
    </w:p>
    <w:p>
      <w:r>
        <w:rPr>
          <w:b w:val="0"/>
          <w:i w:val="0"/>
        </w:rPr>
        <w:t>For any claim brought by: (a) any entity that controls you, is controlled by you, or is under common control with you; (b) any person or entity holding a financial, executive, or managerial interest of 15% or more in you; or (c) any entity in which you hold such an interest. However: this exclusion does not apply to a claim based on your liability to an independent third party arising directly from the performance of your business activity for that third party.</w:t>
      </w:r>
    </w:p>
    <w:p>
      <w:bookmarkStart w:id="68" w:name="c_pi_excl_non_compensatory_payments"/>
      <w:r>
        <w:rPr>
          <w:rFonts w:ascii="Georgia" w:hAnsi="Georgia" w:eastAsia="Georgia"/>
          <w:b/>
          <w:i w:val="0"/>
          <w:color w:val="2E5C4E"/>
          <w:sz w:val="25"/>
        </w:rPr>
        <w:t>Non-Compensatory Payments</w:t>
      </w:r>
      <w:bookmarkEnd w:id="68"/>
    </w:p>
    <w:p>
      <w:r>
        <w:rPr>
          <w:b w:val="0"/>
          <w:i w:val="0"/>
        </w:rPr>
        <w:t xml:space="preserve">For fines, penalties, punitive damages, exemplary damages, aggravated damages, or multiple damages — except where cover for fines or penalties is specifically provided under </w:t>
      </w:r>
      <w:hyperlink w:anchor="c_pi_ext_statutory_liability">
        <w:r>
          <w:rPr>
            <w:color w:val="2E5C4E"/>
            <w:u w:val="single"/>
          </w:rPr>
          <w:t xml:space="preserve">the Statutory Liability extension</w:t>
        </w:r>
      </w:hyperlink>
      <w:r>
        <w:rPr>
          <w:b w:val="0"/>
          <w:i w:val="0"/>
        </w:rPr>
        <w:t>.</w:t>
      </w:r>
    </w:p>
    <w:p>
      <w:bookmarkStart w:id="69" w:name="c_pi_gm_excl_excluded_activities"/>
      <w:r>
        <w:rPr>
          <w:rFonts w:ascii="Georgia" w:hAnsi="Georgia" w:eastAsia="Georgia"/>
          <w:b/>
          <w:i w:val="0"/>
          <w:color w:val="2E5C4E"/>
          <w:sz w:val="25"/>
        </w:rPr>
        <w:t>Excluded Geoscience Activities</w:t>
      </w:r>
      <w:bookmarkEnd w:id="69"/>
    </w:p>
    <w:p>
      <w:r>
        <w:rPr>
          <w:b w:val="0"/>
          <w:i w:val="0"/>
        </w:rPr>
        <w:t>Arising from:</w:t>
      </w:r>
    </w:p>
    <w:p>
      <w:r>
        <w:rPr>
          <w:b w:val="0"/>
          <w:i w:val="0"/>
        </w:rPr>
        <w:t>(a) the design or construction of dams more than the height shown in the schedule for this purpose (or 6 metres if no height is shown), including tailings storage facilities;</w:t>
      </w:r>
    </w:p>
    <w:p>
      <w:r>
        <w:rPr>
          <w:b w:val="0"/>
          <w:i w:val="0"/>
        </w:rPr>
        <w:t>(b) oil and gas services, including the estimation of petroleum reserves; or</w:t>
      </w:r>
    </w:p>
    <w:p>
      <w:r>
        <w:rPr>
          <w:b w:val="0"/>
          <w:i w:val="0"/>
        </w:rPr>
        <w:t>(c) nuclear engineering.</w:t>
      </w:r>
    </w:p>
    <w:p>
      <w:bookmarkStart w:id="70" w:name="c_pi_section_payment"/>
      <w:r>
        <w:rPr>
          <w:rFonts w:ascii="Georgia" w:hAnsi="Georgia" w:eastAsia="Georgia"/>
          <w:b/>
          <w:i w:val="0"/>
          <w:color w:val="1C1915"/>
          <w:sz w:val="32"/>
        </w:rPr>
        <w:t>How Much We Will Pay</w:t>
      </w:r>
      <w:bookmarkEnd w:id="70"/>
    </w:p>
    <w:p>
      <w:bookmarkStart w:id="71" w:name="c_pi_pay_limit_of_liability"/>
      <w:r>
        <w:rPr>
          <w:rFonts w:ascii="Georgia" w:hAnsi="Georgia" w:eastAsia="Georgia"/>
          <w:b/>
          <w:i w:val="0"/>
          <w:color w:val="2E5C4E"/>
          <w:sz w:val="25"/>
        </w:rPr>
        <w:t>Limit of Liability</w:t>
      </w:r>
      <w:bookmarkEnd w:id="71"/>
    </w:p>
    <w:p>
      <w:r>
        <w:rPr>
          <w:b w:val="0"/>
          <w:i w:val="0"/>
        </w:rPr>
        <w:t>The most we will pay for all claims and defence costs combined during the policy period is the limit of liability shown in your schedule. This is an aggregate limit — it applies to all claims combined, regardless of how many are made or how many insured persons are involved.</w:t>
      </w:r>
    </w:p>
    <w:p>
      <w:bookmarkStart w:id="72" w:name="c_pi_pay_automatic_reinstatement"/>
      <w:r>
        <w:rPr>
          <w:rFonts w:ascii="Georgia" w:hAnsi="Georgia" w:eastAsia="Georgia"/>
          <w:b/>
          <w:i w:val="0"/>
          <w:color w:val="2E5C4E"/>
          <w:sz w:val="25"/>
        </w:rPr>
        <w:t>Automatic Reinstatement</w:t>
      </w:r>
      <w:bookmarkEnd w:id="72"/>
    </w:p>
    <w:p>
      <w:r>
        <w:rPr>
          <w:b w:val="0"/>
          <w:i w:val="0"/>
        </w:rPr>
        <w:t xml:space="preserve">Despite </w:t>
      </w:r>
      <w:hyperlink w:anchor="c_pi_pay_limit_of_liability">
        <w:r>
          <w:rPr>
            <w:color w:val="2E5C4E"/>
            <w:u w:val="single"/>
          </w:rPr>
          <w:t xml:space="preserve">the Limit of Liability provision</w:t>
        </w:r>
      </w:hyperlink>
      <w:r>
        <w:rPr>
          <w:b w:val="0"/>
          <w:i w:val="0"/>
        </w:rPr>
        <w:t>, if payments under this policy reduce or exhaust the limit of liability, it is reinstated once during the policy period, in full and without additional premium.</w:t>
      </w:r>
    </w:p>
    <w:p>
      <w:r>
        <w:rPr>
          <w:b w:val="0"/>
          <w:i w:val="0"/>
        </w:rPr>
        <w:t>The reinstated limit of liability:</w:t>
      </w:r>
    </w:p>
    <w:p>
      <w:r>
        <w:rPr>
          <w:b w:val="0"/>
          <w:i w:val="0"/>
        </w:rPr>
        <w:t>(a) is available only for a claim that does not arise from the same, similar or related acts, errors or omissions as a claim already paid under this policy; and</w:t>
      </w:r>
    </w:p>
    <w:p>
      <w:r>
        <w:rPr>
          <w:b w:val="0"/>
          <w:i w:val="0"/>
        </w:rPr>
        <w:t>(b) does not increase the most we will pay for any one claim, which remains the limit of liability.</w:t>
      </w:r>
    </w:p>
    <w:p>
      <w:r>
        <w:rPr>
          <w:b w:val="0"/>
          <w:i w:val="0"/>
        </w:rPr>
        <w:t>The most we will pay for all claims during the policy period is twice the limit of liability.</w:t>
      </w:r>
    </w:p>
    <w:p>
      <w:bookmarkStart w:id="73" w:name="c_pi_pay_sub_limits"/>
      <w:r>
        <w:rPr>
          <w:rFonts w:ascii="Georgia" w:hAnsi="Georgia" w:eastAsia="Georgia"/>
          <w:b/>
          <w:i w:val="0"/>
          <w:color w:val="2E5C4E"/>
          <w:sz w:val="25"/>
        </w:rPr>
        <w:t>Sub-Limits</w:t>
      </w:r>
      <w:bookmarkEnd w:id="73"/>
    </w:p>
    <w:p>
      <w:r>
        <w:rPr>
          <w:b w:val="0"/>
          <w:i w:val="0"/>
        </w:rPr>
        <w:t>Where a sub-limit is shown — in this wording or the schedule — it is the most we will pay for that type of cover. Sub-limits are included within — not in addition to — the limit of liability, unless the schedule states otherwise.</w:t>
      </w:r>
    </w:p>
    <w:p>
      <w:r>
        <w:rPr>
          <w:b w:val="0"/>
          <w:i w:val="0"/>
        </w:rPr>
        <w:t>Unless the schedule shows a different amount, the following default sub-limits apply for the policy period. If the limit of liability is lower than a default sub-limit, the limit of liability applies.</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Cover</w:t>
            </w:r>
          </w:p>
        </w:tc>
        <w:tc>
          <w:tcPr>
            <w:tcW w:type="dxa" w:w="4873"/>
          </w:tcPr>
          <w:p>
            <w:r/>
            <w:r>
              <w:rPr>
                <w:b w:val="0"/>
                <w:i w:val="0"/>
              </w:rPr>
              <w:t>Default sub-limit</w:t>
            </w:r>
          </w:p>
        </w:tc>
      </w:tr>
      <w:tr>
        <w:tc>
          <w:tcPr>
            <w:tcW w:type="dxa" w:w="4873"/>
          </w:tcPr>
          <w:p>
            <w:r/>
            <w:hyperlink w:anchor="c_pi_cover_claims_against_you">
              <w:r>
                <w:rPr>
                  <w:color w:val="2E5C4E"/>
                  <w:u w:val="single"/>
                </w:rPr>
                <w:t xml:space="preserve">Claims Against You</w:t>
              </w:r>
            </w:hyperlink>
            <w:r>
              <w:rPr>
                <w:b w:val="0"/>
                <w:i w:val="0"/>
              </w:rPr>
              <w:t>: defence costs of a disciplinary complaint or proceeding</w:t>
            </w:r>
          </w:p>
        </w:tc>
        <w:tc>
          <w:tcPr>
            <w:tcW w:type="dxa" w:w="4873"/>
          </w:tcPr>
          <w:p>
            <w:r/>
            <w:r>
              <w:rPr>
                <w:b w:val="0"/>
                <w:i w:val="0"/>
              </w:rPr>
              <w:t>$100,000</w:t>
            </w:r>
          </w:p>
        </w:tc>
      </w:tr>
      <w:tr>
        <w:tc>
          <w:tcPr>
            <w:tcW w:type="dxa" w:w="4873"/>
          </w:tcPr>
          <w:p>
            <w:r/>
            <w:hyperlink w:anchor="c_pi_ext_statutory_liability">
              <w:r>
                <w:rPr>
                  <w:color w:val="2E5C4E"/>
                  <w:u w:val="single"/>
                </w:rPr>
                <w:t xml:space="preserve">Statutory Liability</w:t>
              </w:r>
            </w:hyperlink>
          </w:p>
        </w:tc>
        <w:tc>
          <w:tcPr>
            <w:tcW w:type="dxa" w:w="4873"/>
          </w:tcPr>
          <w:p>
            <w:r/>
            <w:r>
              <w:rPr>
                <w:b w:val="0"/>
                <w:i w:val="0"/>
              </w:rPr>
              <w:t>$250,000</w:t>
            </w:r>
          </w:p>
        </w:tc>
      </w:tr>
      <w:tr>
        <w:tc>
          <w:tcPr>
            <w:tcW w:type="dxa" w:w="4873"/>
          </w:tcPr>
          <w:p>
            <w:r/>
            <w:hyperlink w:anchor="c_pi_ext_first_party_dishonesty">
              <w:r>
                <w:rPr>
                  <w:color w:val="2E5C4E"/>
                  <w:u w:val="single"/>
                </w:rPr>
                <w:t xml:space="preserve">First-Party Dishonesty</w:t>
              </w:r>
            </w:hyperlink>
          </w:p>
        </w:tc>
        <w:tc>
          <w:tcPr>
            <w:tcW w:type="dxa" w:w="4873"/>
          </w:tcPr>
          <w:p>
            <w:r/>
            <w:r>
              <w:rPr>
                <w:b w:val="0"/>
                <w:i w:val="0"/>
              </w:rPr>
              <w:t>$250,000</w:t>
            </w:r>
          </w:p>
        </w:tc>
      </w:tr>
      <w:tr>
        <w:tc>
          <w:tcPr>
            <w:tcW w:type="dxa" w:w="4873"/>
          </w:tcPr>
          <w:p>
            <w:r/>
            <w:hyperlink w:anchor="c_pi_ext_public_relations_costs">
              <w:r>
                <w:rPr>
                  <w:color w:val="2E5C4E"/>
                  <w:u w:val="single"/>
                </w:rPr>
                <w:t xml:space="preserve">Public Relations Costs</w:t>
              </w:r>
            </w:hyperlink>
          </w:p>
        </w:tc>
        <w:tc>
          <w:tcPr>
            <w:tcW w:type="dxa" w:w="4873"/>
          </w:tcPr>
          <w:p>
            <w:r/>
            <w:r>
              <w:rPr>
                <w:b w:val="0"/>
                <w:i w:val="0"/>
              </w:rPr>
              <w:t>$50,000</w:t>
            </w:r>
          </w:p>
        </w:tc>
      </w:tr>
      <w:tr>
        <w:tc>
          <w:tcPr>
            <w:tcW w:type="dxa" w:w="4873"/>
          </w:tcPr>
          <w:p>
            <w:r/>
            <w:hyperlink w:anchor="c_pi_ext_court_attendance">
              <w:r>
                <w:rPr>
                  <w:color w:val="2E5C4E"/>
                  <w:u w:val="single"/>
                </w:rPr>
                <w:t xml:space="preserve">Court Attendance</w:t>
              </w:r>
            </w:hyperlink>
          </w:p>
        </w:tc>
        <w:tc>
          <w:tcPr>
            <w:tcW w:type="dxa" w:w="4873"/>
          </w:tcPr>
          <w:p>
            <w:r/>
            <w:r>
              <w:rPr>
                <w:b w:val="0"/>
                <w:i w:val="0"/>
              </w:rPr>
              <w:t>$25,000</w:t>
            </w:r>
          </w:p>
        </w:tc>
      </w:tr>
    </w:tbl>
    <w:p>
      <w:bookmarkStart w:id="74" w:name="c_pi_pay_defence_costs"/>
      <w:r>
        <w:rPr>
          <w:rFonts w:ascii="Georgia" w:hAnsi="Georgia" w:eastAsia="Georgia"/>
          <w:b/>
          <w:i w:val="0"/>
          <w:color w:val="2E5C4E"/>
          <w:sz w:val="25"/>
        </w:rPr>
        <w:t>Defence Costs</w:t>
      </w:r>
      <w:bookmarkEnd w:id="74"/>
    </w:p>
    <w:p>
      <w:r>
        <w:rPr>
          <w:b w:val="0"/>
          <w:i w:val="0"/>
        </w:rPr>
        <w:t xml:space="preserve">Defence costs are included within the limit of liability and reduce the amount available to pay compensation, unless the schedule states that defence costs are payable in addition to the limit. We will advance defence costs as they are incurred, without waiting for the final outcome of a claim. If a claim is later found not to be covered, you must repay any defence costs advanced for the uncovered portion, subject to </w:t>
      </w:r>
      <w:hyperlink w:anchor="c_pi_pay_allocation">
        <w:r>
          <w:rPr>
            <w:color w:val="2E5C4E"/>
            <w:u w:val="single"/>
          </w:rPr>
          <w:t xml:space="preserve">the Allocation provision</w:t>
        </w:r>
      </w:hyperlink>
      <w:r>
        <w:rPr>
          <w:b w:val="0"/>
          <w:i w:val="0"/>
        </w:rPr>
        <w:t xml:space="preserve"> where the claim was only partly covered.</w:t>
      </w:r>
    </w:p>
    <w:p>
      <w:r>
        <w:rPr>
          <w:b w:val="0"/>
          <w:i w:val="0"/>
        </w:rPr>
        <w:t xml:space="preserve">Where a claim involves conduct excluded under </w:t>
      </w:r>
      <w:hyperlink w:anchor="c_pi_excl_deliberate_and_dishonest_acts">
        <w:r>
          <w:rPr>
            <w:color w:val="2E5C4E"/>
            <w:u w:val="single"/>
          </w:rPr>
          <w:t xml:space="preserve">the Deliberate and Dishonest Acts exclusion</w:t>
        </w:r>
      </w:hyperlink>
      <w:r>
        <w:rPr>
          <w:b w:val="0"/>
          <w:i w:val="0"/>
        </w:rPr>
        <w:t xml:space="preserve">, repayment of defence costs advanced in connection with that conduct is required only after a Final adjudication establishes that the exclusion applies, consistent with </w:t>
      </w:r>
      <w:hyperlink w:anchor="c_pi_cond_insurance_contracts_act">
        <w:r>
          <w:rPr>
            <w:color w:val="2E5C4E"/>
            <w:u w:val="single"/>
          </w:rPr>
          <w:t xml:space="preserve">the Insurance Contracts Act 1984 (Cth) condition</w:t>
        </w:r>
      </w:hyperlink>
      <w:r>
        <w:rPr>
          <w:b w:val="0"/>
          <w:i w:val="0"/>
        </w:rPr>
        <w:t>.</w:t>
      </w:r>
    </w:p>
    <w:p>
      <w:bookmarkStart w:id="75" w:name="c_pi_pay_excess"/>
      <w:r>
        <w:rPr>
          <w:rFonts w:ascii="Georgia" w:hAnsi="Georgia" w:eastAsia="Georgia"/>
          <w:b/>
          <w:i w:val="0"/>
          <w:color w:val="2E5C4E"/>
          <w:sz w:val="25"/>
        </w:rPr>
        <w:t>Excess</w:t>
      </w:r>
      <w:bookmarkEnd w:id="75"/>
    </w:p>
    <w:p>
      <w:r>
        <w:rPr>
          <w:b w:val="0"/>
          <w:i w:val="0"/>
        </w:rPr>
        <w:t>You must pay the excess shown in the schedule as the first part of each claim, applied to loss and defence costs combined unless the schedule states otherwise. The excess applies even where a claim involves only defence costs.</w:t>
      </w:r>
    </w:p>
    <w:p>
      <w:bookmarkStart w:id="76" w:name="c_pi_pay_other_insurance"/>
      <w:r>
        <w:rPr>
          <w:rFonts w:ascii="Georgia" w:hAnsi="Georgia" w:eastAsia="Georgia"/>
          <w:b/>
          <w:i w:val="0"/>
          <w:color w:val="2E5C4E"/>
          <w:sz w:val="25"/>
        </w:rPr>
        <w:t>Other Insurance</w:t>
      </w:r>
      <w:bookmarkEnd w:id="76"/>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bookmarkStart w:id="77" w:name="c_pi_pay_paying_out_the_limit"/>
      <w:r>
        <w:rPr>
          <w:rFonts w:ascii="Georgia" w:hAnsi="Georgia" w:eastAsia="Georgia"/>
          <w:b/>
          <w:i w:val="0"/>
          <w:color w:val="2E5C4E"/>
          <w:sz w:val="25"/>
        </w:rPr>
        <w:t>Paying Out the Limit</w:t>
      </w:r>
      <w:bookmarkEnd w:id="77"/>
    </w:p>
    <w:p>
      <w:r>
        <w:rPr>
          <w:b w:val="0"/>
          <w:i w:val="0"/>
        </w:rPr>
        <w:t>At any time during a claim, we may pay you the limit of liability (or whatever remains after earlier payments) and our obligation to defend or pay further amounts will end. We will give you reasonable notice and the opportunity to take over the defence at your own cost before doing so.</w:t>
      </w:r>
    </w:p>
    <w:p>
      <w:bookmarkStart w:id="78" w:name="c_pi_pay_allocation"/>
      <w:r>
        <w:rPr>
          <w:rFonts w:ascii="Georgia" w:hAnsi="Georgia" w:eastAsia="Georgia"/>
          <w:b/>
          <w:i w:val="0"/>
          <w:color w:val="2E5C4E"/>
          <w:sz w:val="25"/>
        </w:rPr>
        <w:t>Allocation</w:t>
      </w:r>
      <w:bookmarkEnd w:id="78"/>
    </w:p>
    <w:p>
      <w:r>
        <w:rPr>
          <w:b w:val="0"/>
          <w:i w:val="0"/>
        </w:rPr>
        <w:t xml:space="preserve">Where a claim involves both: (a) amounts covered and amounts not covered under this policy; or (b) an insured and a person or entity who is not insured under this policy — we and you must use reasonable endeavours to agree a fair and reasonable allocation of loss and defence costs between the covered and uncovered amounts, parties, or causes of action, having regard to their relative legal and financial exposures. An allocation agreed or determined under this provision does not itself determine whether conduct is excluded under </w:t>
      </w:r>
      <w:hyperlink w:anchor="c_pi_excl_deliberate_and_dishonest_acts">
        <w:r>
          <w:rPr>
            <w:color w:val="2E5C4E"/>
            <w:u w:val="single"/>
          </w:rPr>
          <w:t xml:space="preserve">the Deliberate and Dishonest Acts exclusion</w:t>
        </w:r>
      </w:hyperlink>
      <w:r>
        <w:rPr>
          <w:b w:val="0"/>
          <w:i w:val="0"/>
        </w:rPr>
        <w:t xml:space="preserve">; that question is determined only by Final adjudication, and advancement continues in the meantime on the terms of </w:t>
      </w:r>
      <w:hyperlink w:anchor="c_pi_pay_defence_costs">
        <w:r>
          <w:rPr>
            <w:color w:val="2E5C4E"/>
            <w:u w:val="single"/>
          </w:rPr>
          <w:t xml:space="preserve">the Defence Costs provision</w:t>
        </w:r>
      </w:hyperlink>
      <w:r>
        <w:rPr>
          <w:b w:val="0"/>
          <w:i w:val="0"/>
        </w:rPr>
        <w:t>.</w:t>
      </w:r>
    </w:p>
    <w:p>
      <w:r>
        <w:rPr>
          <w:b w:val="0"/>
          <w:i w:val="0"/>
        </w:rPr>
        <w:t xml:space="preserve">If we and you cannot agree an allocation within a reasonable time, the dispute will be determined by Senior Counsel — mutually agreed between us and you or, failing agreement within 21 days, nominated by the President of the Bar Association or Bar Council of the State or Territory whose law governs this policy under </w:t>
      </w:r>
      <w:hyperlink w:anchor="c_pi_cond_governing_law">
        <w:r>
          <w:rPr>
            <w:color w:val="2E5C4E"/>
            <w:u w:val="single"/>
          </w:rPr>
          <w:t xml:space="preserve">the Governing Law condition</w:t>
        </w:r>
      </w:hyperlink>
      <w:r>
        <w:rPr>
          <w:b w:val="0"/>
          <w:i w:val="0"/>
        </w:rPr>
        <w:t>. The Senior Counsel's determination of a fair and reasonable allocation is binding on us and you.</w:t>
      </w:r>
    </w:p>
    <w:p>
      <w:r>
        <w:rPr>
          <w:b w:val="0"/>
          <w:i w:val="0"/>
        </w:rPr>
        <w:t xml:space="preserve">Pending an allocation being agreed or determined, we will advance defence costs on a fair and reasonable interim allocation, subject to </w:t>
      </w:r>
      <w:hyperlink w:anchor="c_pi_pay_defence_costs">
        <w:r>
          <w:rPr>
            <w:color w:val="2E5C4E"/>
            <w:u w:val="single"/>
          </w:rPr>
          <w:t xml:space="preserve">the Defence Costs provision</w:t>
        </w:r>
      </w:hyperlink>
      <w:r>
        <w:rPr>
          <w:b w:val="0"/>
          <w:i w:val="0"/>
        </w:rPr>
        <w:t>.</w:t>
      </w:r>
    </w:p>
    <w:p>
      <w:bookmarkStart w:id="79" w:name="c_pi_section_obligations"/>
      <w:r>
        <w:rPr>
          <w:rFonts w:ascii="Georgia" w:hAnsi="Georgia" w:eastAsia="Georgia"/>
          <w:b/>
          <w:i w:val="0"/>
          <w:color w:val="1C1915"/>
          <w:sz w:val="32"/>
        </w:rPr>
        <w:t>Your Obligations</w:t>
      </w:r>
      <w:bookmarkEnd w:id="79"/>
    </w:p>
    <w:p>
      <w:r>
        <w:rPr>
          <w:b w:val="0"/>
          <w:i w:val="0"/>
        </w:rPr>
        <w:t xml:space="preserve">These obligations apply subject to </w:t>
      </w:r>
      <w:hyperlink w:anchor="c_pi_cond_insurance_contracts_act">
        <w:r>
          <w:rPr>
            <w:color w:val="2E5C4E"/>
            <w:u w:val="single"/>
          </w:rPr>
          <w:t xml:space="preserve">the Insurance Contracts Act 1984 (Cth) condition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80" w:name="c_pi_obl_tell_us_about_claims"/>
      <w:r>
        <w:rPr>
          <w:rFonts w:ascii="Georgia" w:hAnsi="Georgia" w:eastAsia="Georgia"/>
          <w:b/>
          <w:i w:val="0"/>
          <w:color w:val="2E5C4E"/>
          <w:sz w:val="25"/>
        </w:rPr>
        <w:t>Tell Us About Claims</w:t>
      </w:r>
      <w:bookmarkEnd w:id="80"/>
    </w:p>
    <w:p>
      <w:r>
        <w:rPr>
          <w:b w:val="0"/>
          <w:i w:val="0"/>
        </w:rPr>
        <w:t>You must tell us in writing as soon as reasonably practicable after you become aware that a claim has been made against you. Tell us: (a) who is making the claim and what they allege; (b) when you first became aware; (c) details of the act, error, or omission involved; and (d) your estimate of the potential value if you can.</w:t>
      </w:r>
    </w:p>
    <w:p>
      <w:bookmarkStart w:id="81" w:name="c_pi_obl_tell_us_about_circumstances"/>
      <w:r>
        <w:rPr>
          <w:rFonts w:ascii="Georgia" w:hAnsi="Georgia" w:eastAsia="Georgia"/>
          <w:b/>
          <w:i w:val="0"/>
          <w:color w:val="2E5C4E"/>
          <w:sz w:val="25"/>
        </w:rPr>
        <w:t>Tell Us About Circumstances</w:t>
      </w:r>
      <w:bookmarkEnd w:id="81"/>
    </w:p>
    <w:p>
      <w:r>
        <w:rPr>
          <w:b w:val="0"/>
          <w:i w:val="0"/>
        </w:rPr>
        <w:t xml:space="preserve">Tell us during the policy period about any fact, matter, or circumstance you first become aware of that might give rise to a claim. This protects you — see </w:t>
      </w:r>
      <w:hyperlink w:anchor="c_pi_cover_notification_of_circumstances">
        <w:r>
          <w:rPr>
            <w:color w:val="2E5C4E"/>
            <w:u w:val="single"/>
          </w:rPr>
          <w:t xml:space="preserve">the Notification of Circumstances clause</w:t>
        </w:r>
      </w:hyperlink>
      <w:r>
        <w:rPr>
          <w:b w:val="0"/>
          <w:i w:val="0"/>
        </w:rPr>
        <w:t>.</w:t>
      </w:r>
    </w:p>
    <w:p>
      <w:r>
        <w:rPr>
          <w:b w:val="0"/>
          <w:i w:val="0"/>
        </w:rPr>
        <w:t>Examples: a client has expressed serious dissatisfaction and may seek compensation; you have discovered a significant error in advice you gave; a regulator has contacted you about a formal investigation; you have received a complaint through a professional body.</w:t>
      </w:r>
    </w:p>
    <w:p>
      <w:bookmarkStart w:id="82" w:name="c_pi_obl_do_not_admit_liability"/>
      <w:r>
        <w:rPr>
          <w:rFonts w:ascii="Georgia" w:hAnsi="Georgia" w:eastAsia="Georgia"/>
          <w:b/>
          <w:i w:val="0"/>
          <w:color w:val="2E5C4E"/>
          <w:sz w:val="25"/>
        </w:rPr>
        <w:t>Do Not Admit Liability</w:t>
      </w:r>
      <w:bookmarkEnd w:id="82"/>
    </w:p>
    <w:p>
      <w:r>
        <w:rPr>
          <w:b w:val="0"/>
          <w:i w:val="0"/>
        </w:rPr>
        <w:t>Do not admit liability, make any offer or promise to pay, or agree to settle any claim without our written consent. We will not unreasonably withhold or delay consent.</w:t>
      </w:r>
    </w:p>
    <w:p>
      <w:bookmarkStart w:id="83" w:name="c_pi_obl_cooperate_with_us"/>
      <w:r>
        <w:rPr>
          <w:rFonts w:ascii="Georgia" w:hAnsi="Georgia" w:eastAsia="Georgia"/>
          <w:b/>
          <w:i w:val="0"/>
          <w:color w:val="2E5C4E"/>
          <w:sz w:val="25"/>
        </w:rPr>
        <w:t>Cooperate With Us</w:t>
      </w:r>
      <w:bookmarkEnd w:id="83"/>
    </w:p>
    <w:p>
      <w:r>
        <w:rPr>
          <w:b w:val="0"/>
          <w:i w:val="0"/>
        </w:rPr>
        <w:t>Give us all information, documents, and assistance we reasonably need to handle the claim. Attend any meetings, examinations, or proceedings we reasonably require.</w:t>
      </w:r>
    </w:p>
    <w:p>
      <w:bookmarkStart w:id="84" w:name="c_pi_obl_mitigate_your_loss"/>
      <w:r>
        <w:rPr>
          <w:rFonts w:ascii="Georgia" w:hAnsi="Georgia" w:eastAsia="Georgia"/>
          <w:b/>
          <w:i w:val="0"/>
          <w:color w:val="2E5C4E"/>
          <w:sz w:val="25"/>
        </w:rPr>
        <w:t>Mitigate Your Loss</w:t>
      </w:r>
      <w:bookmarkEnd w:id="84"/>
    </w:p>
    <w:p>
      <w:r>
        <w:rPr>
          <w:b w:val="0"/>
          <w:i w:val="0"/>
        </w:rPr>
        <w:t>Take all reasonable steps to prevent or reduce any loss that might be covered by this policy.</w:t>
      </w:r>
    </w:p>
    <w:p>
      <w:bookmarkStart w:id="85" w:name="c_pi_obl_preserve_our_recovery_rights"/>
      <w:r>
        <w:rPr>
          <w:rFonts w:ascii="Georgia" w:hAnsi="Georgia" w:eastAsia="Georgia"/>
          <w:b/>
          <w:i w:val="0"/>
          <w:color w:val="2E5C4E"/>
          <w:sz w:val="25"/>
        </w:rPr>
        <w:t>Preserve Our Recovery Rights</w:t>
      </w:r>
      <w:bookmarkEnd w:id="85"/>
    </w:p>
    <w:p>
      <w:r>
        <w:rPr>
          <w:b w:val="0"/>
          <w:i w:val="0"/>
        </w:rPr>
        <w:t>Do not do anything after a claim is made that might prejudice our right to recover from any third party. If we pay a claim, we may take action in your name to recover what we have paid.</w:t>
      </w:r>
    </w:p>
    <w:p>
      <w:bookmarkStart w:id="86" w:name="c_pi_obl_tell_us_about_other_insurance"/>
      <w:r>
        <w:rPr>
          <w:rFonts w:ascii="Georgia" w:hAnsi="Georgia" w:eastAsia="Georgia"/>
          <w:b/>
          <w:i w:val="0"/>
          <w:color w:val="2E5C4E"/>
          <w:sz w:val="25"/>
        </w:rPr>
        <w:t>Tell Us About Other Insurance</w:t>
      </w:r>
      <w:bookmarkEnd w:id="86"/>
    </w:p>
    <w:p>
      <w:r>
        <w:rPr>
          <w:b w:val="0"/>
          <w:i w:val="0"/>
        </w:rPr>
        <w:t>Tell us about any other insurance that might cover the same loss.</w:t>
      </w:r>
    </w:p>
    <w:p>
      <w:bookmarkStart w:id="87" w:name="c_pi_obl_tell_us_about_changes"/>
      <w:r>
        <w:rPr>
          <w:rFonts w:ascii="Georgia" w:hAnsi="Georgia" w:eastAsia="Georgia"/>
          <w:b/>
          <w:i w:val="0"/>
          <w:color w:val="2E5C4E"/>
          <w:sz w:val="25"/>
        </w:rPr>
        <w:t>Tell Us About Changes</w:t>
      </w:r>
      <w:bookmarkEnd w:id="87"/>
    </w:p>
    <w:p>
      <w:r>
        <w:rPr>
          <w:b w:val="0"/>
          <w:i w:val="0"/>
        </w:rPr>
        <w:t>Tell us as soon as reasonably practicable about any material change to your business that might affect this policy — for example, new types of professional services, a merger, or a new subsidiary.</w:t>
      </w:r>
    </w:p>
    <w:p>
      <w:r>
        <w:rPr>
          <w:b w:val="0"/>
          <w:i w:val="0"/>
        </w:rPr>
        <w:t xml:space="preserve">Under the Insurance Contracts Act 1984 (Cth), we cannot refuse your claim solely because you failed to tell us about a change unless the change caused or contributed to the loss or prejudiced our interests — see also </w:t>
      </w:r>
      <w:hyperlink w:anchor="c_pi_cond_insurance_contracts_act">
        <w:r>
          <w:rPr>
            <w:color w:val="2E5C4E"/>
            <w:u w:val="single"/>
          </w:rPr>
          <w:t xml:space="preserve">the Insurance Contracts Act 1984 (Cth) condition</w:t>
        </w:r>
      </w:hyperlink>
      <w:r>
        <w:rPr>
          <w:b w:val="0"/>
          <w:i w:val="0"/>
        </w:rPr>
        <w:t>.</w:t>
      </w:r>
    </w:p>
    <w:p>
      <w:bookmarkStart w:id="88" w:name="c_pi_obl_individual_treatment_of_insured"/>
      <w:r>
        <w:rPr>
          <w:rFonts w:ascii="Georgia" w:hAnsi="Georgia" w:eastAsia="Georgia"/>
          <w:b/>
          <w:i w:val="0"/>
          <w:color w:val="2E5C4E"/>
          <w:sz w:val="25"/>
        </w:rPr>
        <w:t>Individual Treatment of Insured Persons</w:t>
      </w:r>
      <w:bookmarkEnd w:id="88"/>
    </w:p>
    <w:p>
      <w:r>
        <w:rPr>
          <w:b w:val="0"/>
          <w:i w:val="0"/>
        </w:rPr>
        <w:t xml:space="preserve">Each insured person's cover is assessed individually. A failure by one insured person to comply with </w:t>
      </w:r>
      <w:hyperlink w:anchor="c_pi_obl_tell_us_about_claims">
        <w:r>
          <w:rPr>
            <w:color w:val="2E5C4E"/>
            <w:u w:val="single"/>
          </w:rPr>
          <w:t xml:space="preserve">the Tell Us About Claims obligation</w:t>
        </w:r>
      </w:hyperlink>
      <w:r>
        <w:rPr>
          <w:b w:val="0"/>
          <w:i w:val="0"/>
        </w:rPr>
        <w:t xml:space="preserve">, </w:t>
      </w:r>
      <w:hyperlink w:anchor="c_pi_obl_tell_us_about_circumstances">
        <w:r>
          <w:rPr>
            <w:color w:val="2E5C4E"/>
            <w:u w:val="single"/>
          </w:rPr>
          <w:t xml:space="preserve">the Tell Us About Circumstances obligation</w:t>
        </w:r>
      </w:hyperlink>
      <w:r>
        <w:rPr>
          <w:b w:val="0"/>
          <w:i w:val="0"/>
        </w:rPr>
        <w:t xml:space="preserve">, </w:t>
      </w:r>
      <w:hyperlink w:anchor="c_pi_obl_do_not_admit_liability">
        <w:r>
          <w:rPr>
            <w:color w:val="2E5C4E"/>
            <w:u w:val="single"/>
          </w:rPr>
          <w:t xml:space="preserve">the Do Not Admit Liability obligation</w:t>
        </w:r>
      </w:hyperlink>
      <w:r>
        <w:rPr>
          <w:b w:val="0"/>
          <w:i w:val="0"/>
        </w:rPr>
        <w:t xml:space="preserve">, </w:t>
      </w:r>
      <w:hyperlink w:anchor="c_pi_obl_cooperate_with_us">
        <w:r>
          <w:rPr>
            <w:color w:val="2E5C4E"/>
            <w:u w:val="single"/>
          </w:rPr>
          <w:t xml:space="preserve">the Cooperate With Us obligation</w:t>
        </w:r>
      </w:hyperlink>
      <w:r>
        <w:rPr>
          <w:b w:val="0"/>
          <w:i w:val="0"/>
        </w:rPr>
        <w:t xml:space="preserve">, </w:t>
      </w:r>
      <w:hyperlink w:anchor="c_pi_obl_mitigate_your_loss">
        <w:r>
          <w:rPr>
            <w:color w:val="2E5C4E"/>
            <w:u w:val="single"/>
          </w:rPr>
          <w:t xml:space="preserve">the Mitigate Your Loss obligation</w:t>
        </w:r>
      </w:hyperlink>
      <w:r>
        <w:rPr>
          <w:b w:val="0"/>
          <w:i w:val="0"/>
        </w:rPr>
        <w:t xml:space="preserve"> or </w:t>
      </w:r>
      <w:hyperlink w:anchor="c_pi_obl_preserve_our_recovery_rights">
        <w:r>
          <w:rPr>
            <w:color w:val="2E5C4E"/>
            <w:u w:val="single"/>
          </w:rPr>
          <w:t xml:space="preserve">the Preserve Our Recovery Rights obligation</w:t>
        </w:r>
      </w:hyperlink>
      <w:r>
        <w:rPr>
          <w:b w:val="0"/>
          <w:i w:val="0"/>
        </w:rPr>
        <w:t xml:space="preserve">, or any knowledge, act, error, omission, or non-disclosure of one insured person, does not affect the cover of another insured person who did not know of, participate in, or contribute to that failure, knowledge, act, error, omission, or non-disclosure. This section does not affect </w:t>
      </w:r>
      <w:hyperlink w:anchor="c_pi_excl_deliberate_and_dishonest_acts">
        <w:r>
          <w:rPr>
            <w:color w:val="2E5C4E"/>
            <w:u w:val="single"/>
          </w:rPr>
          <w:t xml:space="preserve">the Deliberate and Dishonest Acts exclusion</w:t>
        </w:r>
      </w:hyperlink>
      <w:r>
        <w:rPr>
          <w:b w:val="0"/>
          <w:i w:val="0"/>
        </w:rPr>
        <w:t xml:space="preserve"> or its Final adjudication and non-imputation mechanics, which continue to apply according to their terms.</w:t>
      </w:r>
    </w:p>
    <w:p>
      <w:bookmarkStart w:id="89" w:name="c_pi_section_conditions"/>
      <w:r>
        <w:rPr>
          <w:rFonts w:ascii="Georgia" w:hAnsi="Georgia" w:eastAsia="Georgia"/>
          <w:b/>
          <w:i w:val="0"/>
          <w:color w:val="1C1915"/>
          <w:sz w:val="32"/>
        </w:rPr>
        <w:t>General Conditions</w:t>
      </w:r>
      <w:bookmarkEnd w:id="89"/>
    </w:p>
    <w:p>
      <w:bookmarkStart w:id="90" w:name="c_pi_cond_insurance_contracts_act"/>
      <w:r>
        <w:rPr>
          <w:rFonts w:ascii="Georgia" w:hAnsi="Georgia" w:eastAsia="Georgia"/>
          <w:b/>
          <w:i w:val="0"/>
          <w:color w:val="2E5C4E"/>
          <w:sz w:val="25"/>
        </w:rPr>
        <w:t>Insurance Contracts Act 1984 (Cth)</w:t>
      </w:r>
      <w:bookmarkEnd w:id="90"/>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91" w:name="c_pi_cond_your_duty_of_disclosure"/>
      <w:r>
        <w:rPr>
          <w:rFonts w:ascii="Georgia" w:hAnsi="Georgia" w:eastAsia="Georgia"/>
          <w:b/>
          <w:i w:val="0"/>
          <w:color w:val="2E5C4E"/>
          <w:sz w:val="25"/>
        </w:rPr>
        <w:t>Your Duty of Disclosure</w:t>
      </w:r>
      <w:bookmarkEnd w:id="91"/>
    </w:p>
    <w:p>
      <w:r>
        <w:rPr>
          <w:b w:val="0"/>
          <w:i w:val="0"/>
        </w:rPr>
        <w:t xml:space="preserve">Before you enter into, renew, extend, or vary this policy, you have a duty to tell us anything you know (or could reasonably be expected to know) that would be relevant to our decision to insure you and on what terms. This is a non-consumer contract; the duty described in this condition is owed to us by the company, as the party proposing this contract. What the company knows is what a member of the </w:t>
      </w:r>
      <w:r>
        <w:rPr>
          <w:b/>
          <w:i w:val="0"/>
        </w:rPr>
        <w:t>control group</w:t>
      </w:r>
      <w:r>
        <w:rPr>
          <w:b w:val="0"/>
          <w:i w:val="0"/>
        </w:rPr>
        <w:t xml:space="preserve"> knows.</w:t>
      </w:r>
    </w:p>
    <w:p>
      <w:r>
        <w:rPr>
          <w:b w:val="0"/>
          <w:i w:val="0"/>
        </w:rPr>
        <w:t>[WP REVIEW: confirm that treating the company's knowledge as the knowledge of its control group is consistent with the duty of disclosure under the Insurance Contracts Act 1984 (Cth).]</w:t>
      </w:r>
    </w:p>
    <w:p>
      <w:r>
        <w:rPr>
          <w:b w:val="0"/>
          <w:i w:val="0"/>
        </w:rPr>
        <w:t>You do not need to tell us about matters: (a) that reduce the risk; (b) that are common knowledge; (c) that we know or should know as an insurer; or (d) that we have said we do not need to know.</w:t>
      </w:r>
    </w:p>
    <w:p>
      <w:r>
        <w:rPr>
          <w:b w:val="0"/>
          <w:i w:val="0"/>
        </w:rPr>
        <w:t xml:space="preserve">If the company does not tell us something it should have, we may, to the extent permitted by the Insurance Contracts Act 1984 (Cth), reduce our liability for a claim proportionately or, where the non-disclosure was fraudulent, avoid this policy. We will not avoid this policy, or reduce the cover of an insured person, because of a non-disclosure by another insured person, unless that insured person seeking cover personally knew of the relevant matter and knew it should have been disclosed. As between us and each insured person, this duty and its consequences are assessed individually — see also </w:t>
      </w:r>
      <w:hyperlink w:anchor="c_pi_excl_deliberate_and_dishonest_acts">
        <w:r>
          <w:rPr>
            <w:color w:val="2E5C4E"/>
            <w:u w:val="single"/>
          </w:rPr>
          <w:t xml:space="preserve">the Deliberate and Dishonest Acts exclusion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92" w:name="c_pi_cond_licences_registrations_and_acc"/>
      <w:r>
        <w:rPr>
          <w:rFonts w:ascii="Georgia" w:hAnsi="Georgia" w:eastAsia="Georgia"/>
          <w:b/>
          <w:i w:val="0"/>
          <w:color w:val="2E5C4E"/>
          <w:sz w:val="25"/>
        </w:rPr>
        <w:t>Licences, Registrations and Accreditations</w:t>
      </w:r>
      <w:bookmarkEnd w:id="92"/>
    </w:p>
    <w:p>
      <w:r>
        <w:rPr>
          <w:b w:val="0"/>
          <w:i w:val="0"/>
        </w:rPr>
        <w:t>Where a law, or an accreditation scheme under which you provide a service, requires the person who provides that service to hold a licence, registration, accreditation or endorsement, the service is a professional service under this policy only if it is provided by a person who holds it, or under the direct control and supervision of such a person to the extent that the law or scheme permits.</w:t>
      </w:r>
    </w:p>
    <w:p>
      <w:r>
        <w:rPr>
          <w:b w:val="0"/>
          <w:i w:val="0"/>
        </w:rPr>
        <w:t>This condition looks at whether the licence, registration, accreditation or endorsement was held when the service was provided. If it lapses or is cancelled later, cover for a service already provided is not affected.</w:t>
      </w:r>
    </w:p>
    <w:p>
      <w:r>
        <w:rPr>
          <w:b w:val="0"/>
          <w:i w:val="0"/>
        </w:rPr>
        <w:t>[WP REVIEW: confirm that this status condition is not a warranty within the Insurance Contracts Act 1984 (Cth), and that it operates as intended with the savings for acts after the contract was entered into.]</w:t>
      </w:r>
    </w:p>
    <w:p>
      <w:bookmarkStart w:id="93" w:name="c_pi_cond_compulsory_insurance_requireme"/>
      <w:r>
        <w:rPr>
          <w:rFonts w:ascii="Georgia" w:hAnsi="Georgia" w:eastAsia="Georgia"/>
          <w:b/>
          <w:i w:val="0"/>
          <w:color w:val="2E5C4E"/>
          <w:sz w:val="25"/>
        </w:rPr>
        <w:t>Compulsory Insurance Requirements</w:t>
      </w:r>
      <w:bookmarkEnd w:id="93"/>
    </w:p>
    <w:p>
      <w:r>
        <w:rPr>
          <w:b w:val="0"/>
          <w:i w:val="0"/>
        </w:rPr>
        <w:t>This condition applies where a law, or a requirement made under a law by a regulator or licensing body, requires you to hold professional indemnity insurance with minimum terms in order to provide your professional services. Each such requirement is a compulsory insurance requirement. The schedule lists any compulsory insurance requirement that we know applies to you. A requirement that is not listed in the schedule still applies if the law makes it apply to you.</w:t>
      </w:r>
    </w:p>
    <w:p>
      <w:r>
        <w:rPr>
          <w:b w:val="0"/>
          <w:i w:val="0"/>
        </w:rPr>
        <w:t>For a claim to which a compulsory insurance requirement applies, a term of this policy applies only to the extent that the requirement permits it. This includes the retroactive date, an exclusion, a sub-limit, the excess, reinstatement and run-off. Where a term is not permitted, this policy is read as providing the cover, excess terms, reinstatement and run-off that the requirement prescribes, and we will pay what the requirement obliges an insurer to pay. If the requirement prescribes a minimum limit that is higher than the limit of liability shown in the schedule, this condition does not increase the limit of liability: you are responsible for choosing a limit at least equal to the minimum.</w:t>
      </w:r>
    </w:p>
    <w:p>
      <w:r>
        <w:rPr>
          <w:b w:val="0"/>
          <w:i w:val="0"/>
        </w:rPr>
        <w:t xml:space="preserve">We pay an amount under this condition to the person the requirement says is entitled to it. That is you, unless the requirement gives the claimant a right to be paid directly, in which case it is the claimant. An amount we pay under this condition reduces the limit of liability in the same way as any other payment, and </w:t>
      </w:r>
      <w:hyperlink w:anchor="c_pi_pay_automatic_reinstatement">
        <w:r>
          <w:rPr>
            <w:color w:val="2E5C4E"/>
            <w:u w:val="single"/>
          </w:rPr>
          <w:t xml:space="preserve">the Automatic Reinstatement provision</w:t>
        </w:r>
      </w:hyperlink>
      <w:r>
        <w:rPr>
          <w:b w:val="0"/>
          <w:i w:val="0"/>
        </w:rPr>
        <w:t xml:space="preserve"> applies to it.</w:t>
      </w:r>
    </w:p>
    <w:p>
      <w:r>
        <w:rPr>
          <w:b w:val="0"/>
          <w:i w:val="0"/>
        </w:rPr>
        <w:t>If we pay an amount only because of this condition, and we would not otherwise have been liable to pay it under this policy, you must repay that amount to us, to the extent that the law and the requirement allow us to recover it.</w:t>
      </w:r>
    </w:p>
    <w:p>
      <w:r>
        <w:rPr>
          <w:b w:val="0"/>
          <w:i w:val="0"/>
        </w:rPr>
        <w:t>[WP REVIEW: confirm for each compulsory insurance requirement whether the insurer may recover from the insured, whether the requirement lets a claimant claim directly, whether the retroactive date and exclusions can be read down in this way, and whether leaving the limit of liability unchanged is acceptable.]</w:t>
      </w:r>
    </w:p>
    <w:p>
      <w:bookmarkStart w:id="94" w:name="c_pi_cond_professional_standards_schemes"/>
      <w:r>
        <w:rPr>
          <w:rFonts w:ascii="Georgia" w:hAnsi="Georgia" w:eastAsia="Georgia"/>
          <w:b/>
          <w:i w:val="0"/>
          <w:color w:val="2E5C4E"/>
          <w:sz w:val="25"/>
        </w:rPr>
        <w:t>Professional Standards Schemes</w:t>
      </w:r>
      <w:bookmarkEnd w:id="94"/>
    </w:p>
    <w:p>
      <w:r>
        <w:rPr>
          <w:b w:val="0"/>
          <w:i w:val="0"/>
        </w:rPr>
        <w:t>If you are a member of a scheme approved under professional standards legislation in a state or territory of Australia, and the scheme limits your occupational liability, this policy is intended to meet the insurance standard that the scheme sets for its members.</w:t>
      </w:r>
    </w:p>
    <w:p>
      <w:r>
        <w:rPr>
          <w:b w:val="0"/>
          <w:i w:val="0"/>
        </w:rPr>
        <w:t>For a claim to which the scheme applies, if a term of this policy is inconsistent with that insurance standard, the standard applies to the extent of the inconsistency.</w:t>
      </w:r>
    </w:p>
    <w:p>
      <w:r>
        <w:rPr>
          <w:b w:val="0"/>
          <w:i w:val="0"/>
        </w:rPr>
        <w:t>This condition does not increase the limit of liability. You are responsible for choosing a limit of liability that is at least the amount the scheme requires.</w:t>
      </w:r>
    </w:p>
    <w:p>
      <w:r>
        <w:rPr>
          <w:b w:val="0"/>
          <w:i w:val="0"/>
        </w:rPr>
        <w:t>[WP REVIEW: confirm which approved schemes apply to each profession, their insurance standards and caps, and whether an insured who chooses a lower limit loses the benefit of the scheme's cap.]</w:t>
      </w:r>
    </w:p>
    <w:p>
      <w:bookmarkStart w:id="95" w:name="c_pi_cond_sanctions"/>
      <w:r>
        <w:rPr>
          <w:rFonts w:ascii="Georgia" w:hAnsi="Georgia" w:eastAsia="Georgia"/>
          <w:b/>
          <w:i w:val="0"/>
          <w:color w:val="2E5C4E"/>
          <w:sz w:val="25"/>
        </w:rPr>
        <w:t>Sanctions</w:t>
      </w:r>
      <w:bookmarkEnd w:id="95"/>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96" w:name="c_pi_cond_corporations_act_ss_199a_199b"/>
      <w:r>
        <w:rPr>
          <w:rFonts w:ascii="Georgia" w:hAnsi="Georgia" w:eastAsia="Georgia"/>
          <w:b/>
          <w:i w:val="0"/>
          <w:color w:val="2E5C4E"/>
          <w:sz w:val="25"/>
        </w:rPr>
        <w:t>Corporations Act 2001 (Cth), sections 199A and 199B</w:t>
      </w:r>
      <w:bookmarkEnd w:id="96"/>
    </w:p>
    <w:p>
      <w:r>
        <w:rPr>
          <w:b w:val="0"/>
          <w:i w:val="0"/>
        </w:rPr>
        <w:t>Section 199A of the Corporations Act 2001 (Cth)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the company pays the premium, this policy does not cover an insured person for a liability, other than legal costs, that section 199B prevents the company from insuring. This does not reduce cover for any other liability, or for legal costs.</w:t>
      </w:r>
    </w:p>
    <w:p>
      <w:r>
        <w:rPr>
          <w:b w:val="0"/>
          <w:i w:val="0"/>
        </w:rPr>
        <w:t>[WP REVIEW: confirm this statement of ss 199A and 199B, and whether cover for a liability within s 199B can be provided where the insured person pays the relevant part of the premium.]</w:t>
      </w:r>
    </w:p>
    <w:p>
      <w:bookmarkStart w:id="97" w:name="c_pi_cond_cancellation"/>
      <w:r>
        <w:rPr>
          <w:rFonts w:ascii="Georgia" w:hAnsi="Georgia" w:eastAsia="Georgia"/>
          <w:b/>
          <w:i w:val="0"/>
          <w:color w:val="2E5C4E"/>
          <w:sz w:val="25"/>
        </w:rPr>
        <w:t>Cancellation</w:t>
      </w:r>
      <w:bookmarkEnd w:id="97"/>
    </w:p>
    <w:p>
      <w:r>
        <w:rPr>
          <w:b w:val="0"/>
          <w:i w:val="0"/>
        </w:rPr>
        <w:t>You may cancel this policy at any time by telling us. We refund the premium for the unexpired period of insurance on a pro-rata basis, less any non-refundable government charges.</w:t>
      </w:r>
    </w:p>
    <w:p>
      <w:r>
        <w:rPr>
          <w:b w:val="0"/>
          <w:i w:val="0"/>
        </w:rPr>
        <w:t>We may cancel this policy only as the Insurance Contracts Act 1984 (Cth) allows, by giving you written notice as that Act requires. We refund the premium for the unexpired period on a pro-rata basis.</w:t>
      </w:r>
    </w:p>
    <w:p>
      <w:r>
        <w:rPr>
          <w:b w:val="0"/>
          <w:i w:val="0"/>
        </w:rPr>
        <w:t>Cancellation does not affect your rights for any claim or circumstance that you notified to us before the cancellation took effect.</w:t>
      </w:r>
    </w:p>
    <w:p>
      <w:bookmarkStart w:id="98" w:name="c_pi_cond_governing_law"/>
      <w:r>
        <w:rPr>
          <w:rFonts w:ascii="Georgia" w:hAnsi="Georgia" w:eastAsia="Georgia"/>
          <w:b/>
          <w:i w:val="0"/>
          <w:color w:val="2E5C4E"/>
          <w:sz w:val="25"/>
        </w:rPr>
        <w:t>Governing Law</w:t>
      </w:r>
      <w:bookmarkEnd w:id="98"/>
    </w:p>
    <w:p>
      <w:r>
        <w:rPr>
          <w:b w:val="0"/>
          <w:i w:val="0"/>
        </w:rPr>
        <w:t>This policy is governed by the laws of the State or Territory of Australia shown in the schedule as the governing law at the start of the policy period. If the schedule shows none, it is governed by the laws of the State or Territory in which the named insured has its principal place of business at the start of the policy period.</w:t>
      </w:r>
    </w:p>
    <w:p>
      <w:bookmarkStart w:id="99" w:name="c_pi_cond_jurisdiction"/>
      <w:r>
        <w:rPr>
          <w:rFonts w:ascii="Georgia" w:hAnsi="Georgia" w:eastAsia="Georgia"/>
          <w:b/>
          <w:i w:val="0"/>
          <w:color w:val="2E5C4E"/>
          <w:sz w:val="25"/>
        </w:rPr>
        <w:t>Jurisdiction</w:t>
      </w:r>
      <w:bookmarkEnd w:id="99"/>
    </w:p>
    <w:p>
      <w:r>
        <w:rPr>
          <w:b w:val="0"/>
          <w:i w:val="0"/>
        </w:rPr>
        <w:t xml:space="preserve">You and we submit to the non-exclusive jurisdiction of the courts of the State or Territory whose law governs this policy under </w:t>
      </w:r>
      <w:hyperlink w:anchor="c_pi_cond_governing_law">
        <w:r>
          <w:rPr>
            <w:color w:val="2E5C4E"/>
            <w:u w:val="single"/>
          </w:rPr>
          <w:t xml:space="preserve">the Governing Law condition</w:t>
        </w:r>
      </w:hyperlink>
      <w:r>
        <w:rPr>
          <w:b w:val="0"/>
          <w:i w:val="0"/>
        </w:rPr>
        <w:t>, and the courts that hear appeals from those courts.</w:t>
      </w:r>
    </w:p>
    <w:p>
      <w:bookmarkStart w:id="100" w:name="c_pi_cond_gst"/>
      <w:r>
        <w:rPr>
          <w:rFonts w:ascii="Georgia" w:hAnsi="Georgia" w:eastAsia="Georgia"/>
          <w:b/>
          <w:i w:val="0"/>
          <w:color w:val="2E5C4E"/>
          <w:sz w:val="25"/>
        </w:rPr>
        <w:t>GST</w:t>
      </w:r>
      <w:bookmarkEnd w:id="100"/>
    </w:p>
    <w:p>
      <w:r>
        <w:rPr>
          <w:b w:val="0"/>
          <w:i w:val="0"/>
        </w:rPr>
        <w:t>Tell us the extent of any input tax credit you are entitled to claim for the premium. If you do not, we will assume you are entitled to a full input tax credit.</w:t>
      </w:r>
    </w:p>
    <w:p>
      <w:r>
        <w:rPr>
          <w:b w:val="0"/>
          <w:i w:val="0"/>
        </w:rPr>
        <w:t>When we pay a claim, we will reduce our payment by any input tax credit you are entitled to for that payment, as required by the A New Tax System (Goods and Services Tax) Act 1999 (Cth).</w:t>
      </w:r>
    </w:p>
    <w:p>
      <w:bookmarkStart w:id="101" w:name="c_pi_cond_several_liability"/>
      <w:r>
        <w:rPr>
          <w:rFonts w:ascii="Georgia" w:hAnsi="Georgia" w:eastAsia="Georgia"/>
          <w:b/>
          <w:i w:val="0"/>
          <w:color w:val="2E5C4E"/>
          <w:sz w:val="25"/>
        </w:rPr>
        <w:t>Several Liability</w:t>
      </w:r>
      <w:bookmarkEnd w:id="101"/>
    </w:p>
    <w:p>
      <w:r>
        <w:rPr>
          <w:b w:val="0"/>
          <w:i w:val="0"/>
        </w:rPr>
        <w:t>If more than one insurer is shown in the schedule, each is responsible only for its own share. One insurer's share is not increased by the failure of another to pay.</w:t>
      </w:r>
    </w:p>
    <w:p>
      <w:bookmarkStart w:id="102" w:name="c_pi_cond_assignment"/>
      <w:r>
        <w:rPr>
          <w:rFonts w:ascii="Georgia" w:hAnsi="Georgia" w:eastAsia="Georgia"/>
          <w:b/>
          <w:i w:val="0"/>
          <w:color w:val="2E5C4E"/>
          <w:sz w:val="25"/>
        </w:rPr>
        <w:t>Assignment</w:t>
      </w:r>
      <w:bookmarkEnd w:id="102"/>
    </w:p>
    <w:p>
      <w:r>
        <w:rPr>
          <w:b w:val="0"/>
          <w:i w:val="0"/>
        </w:rPr>
        <w:t>You cannot transfer this policy to another person or entity without our prior written consent.</w:t>
      </w:r>
    </w:p>
    <w:p>
      <w:bookmarkStart w:id="103" w:name="c_pi_cond_entire_agreement"/>
      <w:r>
        <w:rPr>
          <w:rFonts w:ascii="Georgia" w:hAnsi="Georgia" w:eastAsia="Georgia"/>
          <w:b/>
          <w:i w:val="0"/>
          <w:color w:val="2E5C4E"/>
          <w:sz w:val="25"/>
        </w:rPr>
        <w:t>Entire Agreement</w:t>
      </w:r>
      <w:bookmarkEnd w:id="103"/>
    </w:p>
    <w:p>
      <w:r>
        <w:rPr>
          <w:b w:val="0"/>
          <w:i w:val="0"/>
        </w:rPr>
        <w:t>This policy, the schedule, and any endorsements form the entire agreement between you and us about this insurance. No one has authority to change this policy unless the change is recorded in an endorsement.</w:t>
      </w:r>
    </w:p>
    <w:p>
      <w:bookmarkStart w:id="104" w:name="c_pi_cond_disputes_and_complaints"/>
      <w:r>
        <w:rPr>
          <w:rFonts w:ascii="Georgia" w:hAnsi="Georgia" w:eastAsia="Georgia"/>
          <w:b/>
          <w:i w:val="0"/>
          <w:color w:val="2E5C4E"/>
          <w:sz w:val="25"/>
        </w:rPr>
        <w:t>Disputes and Complaints</w:t>
      </w:r>
      <w:bookmarkEnd w:id="104"/>
    </w:p>
    <w:p>
      <w:r>
        <w:rPr>
          <w:b w:val="0"/>
          <w:i w:val="0"/>
        </w:rPr>
        <w:t>If you are unhappy with a decision, please contact us. We will follow our internal dispute resolution process and try to resolve the matter within 30 days.</w:t>
      </w:r>
    </w:p>
    <w:p>
      <w:r>
        <w:rPr>
          <w:b w:val="0"/>
          <w:i w:val="0"/>
        </w:rPr>
        <w:t>If you are not satisfied, you can refer the matter to the Australian Financial Complaints Authority (AFCA) — www.afca.org.au | info@afca.org.au | 1800 931 678. AFCA provides a free and independent dispute resolution service. Time limits may apply.</w:t>
      </w:r>
    </w:p>
    <w:p>
      <w:bookmarkStart w:id="105" w:name="c_pi_cond_privacy"/>
      <w:r>
        <w:rPr>
          <w:rFonts w:ascii="Georgia" w:hAnsi="Georgia" w:eastAsia="Georgia"/>
          <w:b/>
          <w:i w:val="0"/>
          <w:color w:val="2E5C4E"/>
          <w:sz w:val="25"/>
        </w:rPr>
        <w:t>Privacy</w:t>
      </w:r>
      <w:bookmarkEnd w:id="105"/>
    </w:p>
    <w:p>
      <w:r>
        <w:rPr>
          <w:b w:val="0"/>
          <w:i w:val="0"/>
        </w:rPr>
        <w:t>We collect your personal information to assess your application, administer your policy, and handle claims, in accordance with the Privacy Act 1988 (Cth) and the Australian Privacy Principles. Our Privacy Policy is available on our website and on request.</w:t>
      </w:r>
    </w:p>
    <w:p>
      <w:bookmarkStart w:id="106" w:name="c_pi_cond_headings_and_references"/>
      <w:r>
        <w:rPr>
          <w:rFonts w:ascii="Georgia" w:hAnsi="Georgia" w:eastAsia="Georgia"/>
          <w:b/>
          <w:i w:val="0"/>
          <w:color w:val="2E5C4E"/>
          <w:sz w:val="25"/>
        </w:rPr>
        <w:t>Headings and References</w:t>
      </w:r>
      <w:bookmarkEnd w:id="106"/>
    </w:p>
    <w:p>
      <w:r>
        <w:rPr>
          <w:b w:val="0"/>
          <w:i w:val="0"/>
        </w:rPr>
        <w:t>Clauses in this policy are identified by their headings, not by numbers. A reference in this policy, the schedule, or an endorsement to a clause by its heading (for example, "the Financial Services exclusion") is a reference to the clause with that heading in the version of this policy that applies to you.</w:t>
      </w:r>
    </w:p>
    <w:p>
      <w:r>
        <w:rPr>
          <w:b w:val="0"/>
          <w:i w:val="0"/>
        </w:rPr>
        <w:t>Headings do not otherwise limit or extend the meaning of the clause they introduce.</w:t>
      </w:r>
    </w:p>
    <w:p>
      <w:bookmarkStart w:id="107" w:name="c_pi_claims_how_to_make_a_claim"/>
      <w:r>
        <w:rPr>
          <w:rFonts w:ascii="Georgia" w:hAnsi="Georgia" w:eastAsia="Georgia"/>
          <w:b/>
          <w:i w:val="0"/>
          <w:color w:val="1C1915"/>
          <w:sz w:val="32"/>
        </w:rPr>
        <w:t>How to Make a Claim</w:t>
      </w:r>
      <w:bookmarkEnd w:id="107"/>
    </w:p>
    <w:p>
      <w:pPr>
        <w:pStyle w:val="ListNumber"/>
      </w:pPr>
      <w:r>
        <w:rPr>
          <w:b w:val="0"/>
          <w:i w:val="0"/>
        </w:rPr>
        <w:t>Contact your broker or contact us directly at the details shown in the schedule.</w:t>
      </w:r>
    </w:p>
    <w:p>
      <w:pPr>
        <w:pStyle w:val="ListNumber"/>
      </w:pPr>
      <w:r>
        <w:rPr>
          <w:b w:val="0"/>
          <w:i w:val="0"/>
        </w:rPr>
        <w:t xml:space="preserve">Provide written details of the claim or circumstance — see </w:t>
      </w:r>
      <w:hyperlink w:anchor="c_pi_obl_tell_us_about_claims">
        <w:r>
          <w:rPr>
            <w:color w:val="2E5C4E"/>
            <w:u w:val="single"/>
          </w:rPr>
          <w:t xml:space="preserve">the Tell Us About Claims obligation</w:t>
        </w:r>
      </w:hyperlink>
      <w:r>
        <w:rPr>
          <w:b w:val="0"/>
          <w:i w:val="0"/>
        </w:rPr>
        <w:t xml:space="preserve"> and </w:t>
      </w:r>
      <w:hyperlink w:anchor="c_pi_obl_tell_us_about_circumstances">
        <w:r>
          <w:rPr>
            <w:color w:val="2E5C4E"/>
            <w:u w:val="single"/>
          </w:rPr>
          <w:t xml:space="preserve">the Tell Us About Circumstances obligation</w:t>
        </w:r>
      </w:hyperlink>
      <w:r>
        <w:rPr>
          <w:b w:val="0"/>
          <w:i w:val="0"/>
        </w:rPr>
        <w:t xml:space="preserve"> for what to include.</w:t>
      </w:r>
    </w:p>
    <w:p>
      <w:pPr>
        <w:pStyle w:val="ListNumber"/>
      </w:pPr>
      <w:r>
        <w:rPr>
          <w:b w:val="0"/>
          <w:i w:val="0"/>
        </w:rPr>
        <w:t>We will acknowledge your notification and assign a claims manager.</w:t>
      </w:r>
    </w:p>
    <w:p>
      <w:pPr>
        <w:pStyle w:val="ListNumber"/>
      </w:pPr>
      <w:r>
        <w:rPr>
          <w:b w:val="0"/>
          <w:i w:val="0"/>
        </w:rPr>
        <w:t>We will work with you to investigate and manage the claim and keep you informed of progress.</w:t>
      </w:r>
    </w:p>
    <w:p>
      <w:pPr>
        <w:pStyle w:val="ListNumber"/>
      </w:pPr>
      <w:r>
        <w:rPr>
          <w:b w:val="0"/>
          <w:i w:val="0"/>
        </w:rPr>
        <w:t xml:space="preserve">Do not admit liability or agree to any settlement without our written consent — see </w:t>
      </w:r>
      <w:hyperlink w:anchor="c_pi_obl_do_not_admit_liability">
        <w:r>
          <w:rPr>
            <w:color w:val="2E5C4E"/>
            <w:u w:val="single"/>
          </w:rPr>
          <w:t xml:space="preserve">the Do Not Admit Liability obligation</w:t>
        </w:r>
      </w:hyperlink>
      <w:r>
        <w:rPr>
          <w:b w:val="0"/>
          <w:i w:val="0"/>
        </w:rPr>
        <w:t>.</w:t>
      </w:r>
    </w:p>
    <w:p>
      <w:bookmarkStart w:id="108" w:name="c_pi_endorsement_library"/>
      <w:r>
        <w:rPr>
          <w:rFonts w:ascii="Georgia" w:hAnsi="Georgia" w:eastAsia="Georgia"/>
          <w:b/>
          <w:i w:val="0"/>
          <w:color w:val="1C1915"/>
          <w:sz w:val="32"/>
        </w:rPr>
        <w:t>Endorsement Library</w:t>
      </w:r>
      <w:bookmarkEnd w:id="108"/>
    </w:p>
    <w:p>
      <w:r>
        <w:rPr>
          <w:b w:val="0"/>
          <w:i w:val="0"/>
        </w:rPr>
        <w:t>The following endorsement is available and may be attached to this policy as shown in the schedule.</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Code</w:t>
            </w:r>
          </w:p>
        </w:tc>
        <w:tc>
          <w:tcPr>
            <w:tcW w:type="dxa" w:w="4873"/>
          </w:tcPr>
          <w:p>
            <w:r/>
            <w:r>
              <w:rPr>
                <w:b w:val="0"/>
                <w:i w:val="0"/>
              </w:rPr>
              <w:t>Endorsement</w:t>
            </w:r>
          </w:p>
        </w:tc>
      </w:tr>
      <w:tr>
        <w:tc>
          <w:tcPr>
            <w:tcW w:type="dxa" w:w="4873"/>
          </w:tcPr>
          <w:p>
            <w:r/>
            <w:r>
              <w:rPr>
                <w:b w:val="0"/>
                <w:i w:val="0"/>
              </w:rPr>
              <w:t>E01</w:t>
            </w:r>
          </w:p>
        </w:tc>
        <w:tc>
          <w:tcPr>
            <w:tcW w:type="dxa" w:w="4873"/>
          </w:tcPr>
          <w:p>
            <w:r/>
            <w:r>
              <w:rPr>
                <w:b w:val="0"/>
                <w:i w:val="0"/>
              </w:rPr>
              <w:t xml:space="preserve">Run-off extension — quotation-basis extension of run-off cover, for a period requested by you of up to 84 months after the end of the policy period following permanent cessation of practice, offered at our discretion (see </w:t>
            </w:r>
            <w:hyperlink w:anchor="c_pi_ext_run_off_cover">
              <w:r>
                <w:rPr>
                  <w:color w:val="2E5C4E"/>
                  <w:u w:val="single"/>
                </w:rPr>
                <w:t xml:space="preserve">the Run-Off Cover extension</w:t>
              </w:r>
            </w:hyperlink>
            <w:r>
              <w:rPr>
                <w:b w:val="0"/>
                <w:i w:val="0"/>
              </w:rPr>
              <w:t>); premium and terms as shown in the schedule or endorsement schedule if offered and accepted</w:t>
            </w:r>
          </w:p>
        </w:tc>
      </w:tr>
    </w:tbl>
    <w:p>
      <w:r>
        <w:rPr>
          <w:b w:val="0"/>
          <w:i w:val="0"/>
        </w:rPr>
        <w:t>Endorsements E02 (defence costs in addition to the limit of liability), E04 (contractual liability buy-back), E05 (pollution liability buy-back), E06 (United States and Canada jurisdiction extension), E07 (increased sub-limits), E08 (additional reinstatements) and E10 (excess layer) are not yet available in this version.</w:t>
      </w:r>
    </w:p>
    <w:p>
      <w:r>
        <w:rPr>
          <w:b w:val="0"/>
          <w:i w:val="0"/>
        </w:rPr>
        <w:t>Wordings for particular professions are published separately. Each sets out its own endorsements.</w:t>
      </w:r>
    </w:p>
    <w:p>
      <w:bookmarkStart w:id="109" w:name="c_pi_gm_library_optional_endorsements"/>
      <w:r>
        <w:rPr>
          <w:rFonts w:ascii="Georgia" w:hAnsi="Georgia" w:eastAsia="Georgia"/>
          <w:b/>
          <w:i w:val="0"/>
          <w:color w:val="1C1915"/>
          <w:sz w:val="32"/>
        </w:rPr>
        <w:t>Geoscience and Mineral Endorsements</w:t>
      </w:r>
      <w:bookmarkEnd w:id="109"/>
    </w:p>
    <w:p>
      <w:r>
        <w:rPr>
          <w:b w:val="0"/>
          <w:i w:val="0"/>
        </w:rPr>
        <w:t>The following endorsements apply to this policy only when the schedule shows that they apply.</w:t>
      </w:r>
    </w:p>
    <w:p>
      <w:bookmarkStart w:id="110" w:name="c_pi_gm_end_public_report_excess"/>
      <w:r>
        <w:rPr>
          <w:rFonts w:ascii="Georgia" w:hAnsi="Georgia" w:eastAsia="Georgia"/>
          <w:b/>
          <w:i w:val="0"/>
          <w:color w:val="2E5C4E"/>
          <w:sz w:val="25"/>
        </w:rPr>
        <w:t>Public Report Excess</w:t>
      </w:r>
      <w:bookmarkEnd w:id="110"/>
    </w:p>
    <w:p>
      <w:r>
        <w:rPr>
          <w:b w:val="0"/>
          <w:i w:val="0"/>
        </w:rPr>
        <w:t>For each claim arising from a public report, the excess is the amount shown in the schedule for this endorsement. If no amount is shown, the excess is the greater of $10,000 and 0.25% of the amount raised in, or the value of the transaction connected with, the capital raising or transaction for which the public report was prepared, but not more than $250,000.</w:t>
      </w:r>
    </w:p>
    <w:p>
      <w:bookmarkStart w:id="111" w:name="c_pi_gm_end_petroleum_reserves"/>
      <w:r>
        <w:rPr>
          <w:rFonts w:ascii="Georgia" w:hAnsi="Georgia" w:eastAsia="Georgia"/>
          <w:b/>
          <w:i w:val="0"/>
          <w:color w:val="2E5C4E"/>
          <w:sz w:val="25"/>
        </w:rPr>
        <w:t>Petroleum Reserves Estimation</w:t>
      </w:r>
      <w:bookmarkEnd w:id="111"/>
    </w:p>
    <w:p>
      <w:r>
        <w:rPr>
          <w:b w:val="0"/>
          <w:i w:val="0"/>
        </w:rPr>
        <w:t xml:space="preserve">Paragraph (b) of </w:t>
      </w:r>
      <w:hyperlink w:anchor="c_pi_gm_excl_excluded_activities">
        <w:r>
          <w:rPr>
            <w:color w:val="2E5C4E"/>
            <w:u w:val="single"/>
          </w:rPr>
          <w:t xml:space="preserve">the Excluded Geoscience Activities exclusion</w:t>
        </w:r>
      </w:hyperlink>
      <w:r>
        <w:rPr>
          <w:b w:val="0"/>
          <w:i w:val="0"/>
        </w:rPr>
        <w:t xml:space="preserve"> does not apply to the estimation and evaluation of petroleum reserves and resources, if the work is carried out under the Petroleum Resources Management System or an equivalent standard shown in the schedule.</w:t>
      </w:r>
    </w:p>
    <w:p>
      <w:bookmarkStart w:id="112" w:name="c_pi_gm_end_north_american_reporting"/>
      <w:r>
        <w:rPr>
          <w:rFonts w:ascii="Georgia" w:hAnsi="Georgia" w:eastAsia="Georgia"/>
          <w:b/>
          <w:i w:val="0"/>
          <w:color w:val="2E5C4E"/>
          <w:sz w:val="25"/>
        </w:rPr>
        <w:t>North American Reporting Exclusion</w:t>
      </w:r>
      <w:bookmarkEnd w:id="112"/>
    </w:p>
    <w:p>
      <w:r>
        <w:rPr>
          <w:b w:val="0"/>
          <w:i w:val="0"/>
        </w:rPr>
        <w:t>We do not cover any claim, loss or liability arising from a report prepared under Canadian National Instrument 43-101 or United States Securities and Exchange Commission Regulation S-K subpart 1300, or any claim brought in a court of the United States of America or Canada.</w:t>
      </w:r>
    </w:p>
    <w:p>
      <w:bookmarkStart w:id="113" w:name="c_pi_gm_end_tailings_and_mine_closure"/>
      <w:r>
        <w:rPr>
          <w:rFonts w:ascii="Georgia" w:hAnsi="Georgia" w:eastAsia="Georgia"/>
          <w:b/>
          <w:i w:val="0"/>
          <w:color w:val="2E5C4E"/>
          <w:sz w:val="25"/>
        </w:rPr>
        <w:t>Tailings and Mine Closure Exclusion</w:t>
      </w:r>
      <w:bookmarkEnd w:id="113"/>
    </w:p>
    <w:p>
      <w:r>
        <w:rPr>
          <w:b w:val="0"/>
          <w:i w:val="0"/>
        </w:rPr>
        <w:t>We do not cover any claim, loss or liability arising from advice on, or the design, assessment or inspection of, a tailings storage facility, or the planning or costing of mine closure or rehabilitation.</w:t>
      </w:r>
    </w:p>
    <w:p>
      <w:bookmarkStart w:id="114" w:name="c_pi_gm_end_valuation_sub_limit"/>
      <w:r>
        <w:rPr>
          <w:rFonts w:ascii="Georgia" w:hAnsi="Georgia" w:eastAsia="Georgia"/>
          <w:b/>
          <w:i w:val="0"/>
          <w:color w:val="2E5C4E"/>
          <w:sz w:val="25"/>
        </w:rPr>
        <w:t>Mineral Asset Valuation Sub-limit</w:t>
      </w:r>
      <w:bookmarkEnd w:id="114"/>
    </w:p>
    <w:p>
      <w:r>
        <w:rPr>
          <w:b w:val="0"/>
          <w:i w:val="0"/>
        </w:rPr>
        <w:t>For all claims arising from the valuation of mineral assets, the most we will pay in total, including defence costs, is the sub-limit shown in the schedule for this endorsement. The sub-limit is part of, and not in addition to, the limit of liability.</w:t>
      </w:r>
    </w:p>
    <w:p>
      <w:bookmarkStart w:id="115" w:name="c_pi_licence_notice"/>
      <w:r>
        <w:rPr>
          <w:rFonts w:ascii="Georgia" w:hAnsi="Georgia" w:eastAsia="Georgia"/>
          <w:b/>
          <w:i w:val="0"/>
          <w:color w:val="1C1915"/>
          <w:sz w:val="32"/>
        </w:rPr>
        <w:t>Licence and Trademark Notice</w:t>
      </w:r>
      <w:bookmarkEnd w:id="115"/>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 Built on base PI 1.5.0-DRAFT.</w:t>
      </w:r>
    </w:p>
    <w:p>
      <w:pPr>
        <w:pStyle w:val="ListBullet"/>
      </w:pPr>
      <w:r>
        <w:rPr>
          <w:b w:val="0"/>
          <w:i w:val="0"/>
        </w:rPr>
        <w:t>Base changes flow through: Financial Services exclusion, Sanctions, Statutory Liability, Other Insurance, Cancellation, the Insurance Contracts Act 1984 (Cth) condition and the other changes listed for base PI 1.5.0-DRAFT.</w:t>
      </w:r>
    </w:p>
    <w:p>
      <w:pPr>
        <w:pStyle w:val="ListBullet"/>
      </w:pPr>
      <w:r>
        <w:rPr>
          <w:b w:val="0"/>
          <w:i w:val="0"/>
        </w:rPr>
        <w:t>Professional services: the membership test for public reports now applies only to each competent person or specialist who signs the report on your behalf. A person whose work you rely on does not affect it. Competent person and specialist are now explained. The Financial Services exclusion is stated not to apply to a public report unless it involves financial product advice, dealing in a financial product or a credit activity.</w:t>
      </w:r>
    </w:p>
    <w:p>
      <w:pPr>
        <w:pStyle w:val="ListBullet"/>
      </w:pPr>
      <w:r>
        <w:rPr>
          <w:b w:val="0"/>
          <w:i w:val="0"/>
        </w:rPr>
        <w:t>Securities Exchange Queries extension: now says which queries and reviews it covers (those directed to you that require you to respond about your own work), that they are treated as a formal inquiry, and that they must be notified to us in the policy period. Routine queries are not covered.</w:t>
      </w:r>
    </w:p>
    <w:p>
      <w:pPr>
        <w:pStyle w:val="ListBullet"/>
      </w:pPr>
      <w:r>
        <w:rPr>
          <w:b w:val="0"/>
          <w:i w:val="0"/>
        </w:rPr>
        <w:t>Excluded Geoscience Activities exclusion: the dam height is now a schedule item, with 6 metres as the default. Default set for underwriter confirmation.</w:t>
      </w:r>
    </w:p>
    <w:p>
      <w:r>
        <w:rPr>
          <w:b w:val="0"/>
          <w:i/>
          <w:sz w:val="18"/>
        </w:rPr>
        <w:t>Cuttleflow Systems — Open Source Insurance Wording</w:t>
      </w:r>
    </w:p>
    <w:p>
      <w:r>
        <w:rPr>
          <w:rFonts w:ascii="Consolas" w:hAnsi="Consolas" w:eastAsia="Consolas"/>
          <w:b w:val="0"/>
          <w:i w:val="0"/>
          <w:sz w:val="16"/>
        </w:rPr>
        <w:t>2026/PI/0004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2026/PI/0004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GEOSCIENCE AND MINERAL PROFESSIONAL INDEMNITY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Geoscience and Mineral Professional Indemnity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