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EDUCATION AND TRAINING</w:t>
      </w:r>
    </w:p>
    <w:p>
      <w:r>
        <w:rPr>
          <w:rFonts w:ascii="Georgia" w:hAnsi="Georgia" w:eastAsia="Georgia"/>
          <w:b/>
          <w:i w:val="0"/>
          <w:sz w:val="60"/>
        </w:rPr>
        <w:t>Education and Training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pi-base@1.5.0-DRAFT</w:t>
      </w:r>
    </w:p>
    <w:p>
      <w:r>
        <w:rPr>
          <w:rFonts w:ascii="Consolas" w:hAnsi="Consolas" w:eastAsia="Consolas"/>
          <w:b w:val="0"/>
          <w:i w:val="0"/>
          <w:sz w:val="18"/>
        </w:rPr>
        <w:t>Document ref 2026/PI/0010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i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Words shown in bold have special meanings defined in </w:t>
      </w:r>
      <w:hyperlink w:anchor="c_pi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pi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pi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pi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pi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Professional services covered</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Governing law — the State or Territory of Australia whose law governs this policy (see </w:t>
      </w:r>
      <w:hyperlink w:anchor="c_pi_cond_governing_law">
        <w:r>
          <w:rPr>
            <w:color w:val="2E5C4E"/>
            <w:u w:val="single"/>
          </w:rPr>
          <w:t xml:space="preserve">the Governing Law condition</w:t>
        </w:r>
      </w:hyperlink>
      <w:r>
        <w:rPr>
          <w:b w:val="0"/>
          <w:i w:val="0"/>
        </w:rPr>
        <w:t>)</w:t>
      </w:r>
    </w:p>
    <w:p>
      <w:pPr>
        <w:pStyle w:val="ListBullet"/>
      </w:pPr>
      <w:r>
        <w:rPr>
          <w:b w:val="0"/>
          <w:i w:val="0"/>
        </w:rPr>
        <w:t>Limit of liability — the most we will pay for all claims combined</w:t>
      </w:r>
    </w:p>
    <w:p>
      <w:pPr>
        <w:pStyle w:val="ListBullet"/>
      </w:pPr>
      <w:r>
        <w:rPr>
          <w:b w:val="0"/>
          <w:i w:val="0"/>
        </w:rPr>
        <w:t xml:space="preserve">Sub-limits — lower limits for specific cover types, including any that differ from the defaults in </w:t>
      </w:r>
      <w:hyperlink w:anchor="c_pi_pay_sub_limits">
        <w:r>
          <w:rPr>
            <w:color w:val="2E5C4E"/>
            <w:u w:val="single"/>
          </w:rPr>
          <w:t xml:space="preserve">the Sub-Limits provision</w:t>
        </w:r>
      </w:hyperlink>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if different from the policy default of $500 (see </w:t>
      </w:r>
      <w:hyperlink w:anchor="c_pi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pi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Any compulsory insurance requirement that we know applies to you (see </w:t>
      </w:r>
      <w:hyperlink w:anchor="c_pi_cond_compulsory_insurance_requireme">
        <w:r>
          <w:rPr>
            <w:color w:val="2E5C4E"/>
            <w:u w:val="single"/>
          </w:rPr>
          <w:t xml:space="preserve">the Compulsory Insurance Requirements condition</w:t>
        </w:r>
      </w:hyperlink>
      <w:r>
        <w:rPr>
          <w:b w:val="0"/>
          <w:i w:val="0"/>
        </w:rPr>
        <w:t>)</w:t>
      </w:r>
    </w:p>
    <w:p>
      <w:pPr>
        <w:pStyle w:val="ListBullet"/>
      </w:pPr>
      <w:r>
        <w:rPr>
          <w:b w:val="0"/>
          <w:i w:val="0"/>
        </w:rPr>
        <w:t>Endorsements that change the standard terms, and any endorsement schedule (for example, the premium for a run-off extension offered and agreed under Endorsement E01)</w:t>
      </w:r>
    </w:p>
    <w:p>
      <w:bookmarkStart w:id="4" w:name="c_pi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i_def_business_activity"/>
            <w:r>
              <w:rPr>
                <w:b/>
                <w:i w:val="0"/>
              </w:rPr>
              <w:t>Business activity</w:t>
            </w:r>
            <w:bookmarkEnd w:id="5"/>
          </w:p>
        </w:tc>
        <w:tc>
          <w:tcPr>
            <w:tcW w:type="dxa" w:w="6803"/>
          </w:tcPr>
          <w:p>
            <w:r>
              <w:rPr>
                <w:b w:val="0"/>
                <w:i w:val="0"/>
              </w:rPr>
              <w:t>Your professional services, performed in the ordinary course of your business.</w:t>
            </w:r>
          </w:p>
        </w:tc>
      </w:tr>
      <w:tr>
        <w:tc>
          <w:tcPr>
            <w:tcW w:type="dxa" w:w="2608"/>
          </w:tcPr>
          <w:p>
            <w:bookmarkStart w:id="6" w:name="c_pi_def_claim"/>
            <w:r>
              <w:rPr>
                <w:b/>
                <w:i w:val="0"/>
              </w:rPr>
              <w:t>Claim</w:t>
            </w:r>
            <w:bookmarkEnd w:id="6"/>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 or</w:t>
            </w:r>
          </w:p>
          <w:p>
            <w:r>
              <w:rPr>
                <w:b w:val="0"/>
                <w:i w:val="0"/>
              </w:rPr>
              <w:t>(e) any formal complaint or proceeding before a professional disciplinary body.</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7" w:name="c_pi_def_company"/>
            <w:r>
              <w:rPr>
                <w:b/>
                <w:i w:val="0"/>
              </w:rPr>
              <w:t>Company</w:t>
            </w:r>
            <w:bookmarkEnd w:id="7"/>
          </w:p>
        </w:tc>
        <w:tc>
          <w:tcPr>
            <w:tcW w:type="dxa" w:w="6803"/>
          </w:tcPr>
          <w:p>
            <w:r>
              <w:rPr>
                <w:b w:val="0"/>
                <w:i w:val="0"/>
              </w:rPr>
              <w:t>The entity named as the named insured in the schedule, and any subsidiary.</w:t>
            </w:r>
          </w:p>
        </w:tc>
      </w:tr>
      <w:tr>
        <w:tc>
          <w:tcPr>
            <w:tcW w:type="dxa" w:w="2608"/>
          </w:tcPr>
          <w:p>
            <w:bookmarkStart w:id="8" w:name="c_pi_def_computer_system"/>
            <w:r>
              <w:rPr>
                <w:b/>
                <w:i w:val="0"/>
              </w:rPr>
              <w:t>Computer system</w:t>
            </w:r>
            <w:bookmarkEnd w:id="8"/>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9" w:name="c_pi_def_confidential_information"/>
            <w:r>
              <w:rPr>
                <w:b/>
                <w:i w:val="0"/>
              </w:rPr>
              <w:t>Confidential information</w:t>
            </w:r>
            <w:bookmarkEnd w:id="9"/>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0" w:name="c_pi_def_control_group"/>
            <w:r>
              <w:rPr>
                <w:b/>
                <w:i w:val="0"/>
              </w:rPr>
              <w:t>Control group</w:t>
            </w:r>
            <w:bookmarkEnd w:id="10"/>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1" w:name="c_pi_def_defence_costs"/>
            <w:r>
              <w:rPr>
                <w:b/>
                <w:i w:val="0"/>
              </w:rPr>
              <w:t>Defence costs</w:t>
            </w:r>
            <w:bookmarkEnd w:id="11"/>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2" w:name="c_pi_def_employee"/>
            <w:r>
              <w:rPr>
                <w:b/>
                <w:i w:val="0"/>
              </w:rPr>
              <w:t>Employee</w:t>
            </w:r>
            <w:bookmarkEnd w:id="12"/>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3" w:name="c_pi_def_endorsement"/>
            <w:r>
              <w:rPr>
                <w:b/>
                <w:i w:val="0"/>
              </w:rPr>
              <w:t>Endorsement</w:t>
            </w:r>
            <w:bookmarkEnd w:id="13"/>
          </w:p>
        </w:tc>
        <w:tc>
          <w:tcPr>
            <w:tcW w:type="dxa" w:w="6803"/>
          </w:tcPr>
          <w:p>
            <w:r>
              <w:rPr>
                <w:b w:val="0"/>
                <w:i w:val="0"/>
              </w:rPr>
              <w:t>A document attached to this policy that changes its terms.</w:t>
            </w:r>
          </w:p>
        </w:tc>
      </w:tr>
      <w:tr>
        <w:tc>
          <w:tcPr>
            <w:tcW w:type="dxa" w:w="2608"/>
          </w:tcPr>
          <w:p>
            <w:bookmarkStart w:id="14" w:name="c_pi_def_excess"/>
            <w:r>
              <w:rPr>
                <w:b/>
                <w:i w:val="0"/>
              </w:rPr>
              <w:t>Excess</w:t>
            </w:r>
            <w:bookmarkEnd w:id="14"/>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5" w:name="c_pi_def_final_adjudication"/>
            <w:r>
              <w:rPr>
                <w:b/>
                <w:i w:val="0"/>
              </w:rPr>
              <w:t>Final adjudication</w:t>
            </w:r>
            <w:bookmarkEnd w:id="15"/>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6" w:name="c_pi_def_geographical_limits"/>
            <w:r>
              <w:rPr>
                <w:b/>
                <w:i w:val="0"/>
              </w:rPr>
              <w:t>Geographical limits</w:t>
            </w:r>
            <w:bookmarkEnd w:id="16"/>
          </w:p>
        </w:tc>
        <w:tc>
          <w:tcPr>
            <w:tcW w:type="dxa" w:w="6803"/>
          </w:tcPr>
          <w:p>
            <w:r>
              <w:rPr>
                <w:b w:val="0"/>
                <w:i w:val="0"/>
              </w:rPr>
              <w:t>The territory shown in the schedule.</w:t>
            </w:r>
          </w:p>
        </w:tc>
      </w:tr>
      <w:tr>
        <w:tc>
          <w:tcPr>
            <w:tcW w:type="dxa" w:w="2608"/>
          </w:tcPr>
          <w:p>
            <w:bookmarkStart w:id="17" w:name="c_pi_def_insured_person"/>
            <w:r>
              <w:rPr>
                <w:b/>
                <w:i w:val="0"/>
              </w:rPr>
              <w:t>Insured person</w:t>
            </w:r>
            <w:bookmarkEnd w:id="17"/>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8" w:name="c_pi_def_joint_venture"/>
            <w:r>
              <w:rPr>
                <w:b/>
                <w:i w:val="0"/>
              </w:rPr>
              <w:t>Joint venture</w:t>
            </w:r>
            <w:bookmarkEnd w:id="18"/>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19" w:name="c_pi_def_limit_of_liability"/>
            <w:r>
              <w:rPr>
                <w:b/>
                <w:i w:val="0"/>
              </w:rPr>
              <w:t>Limit of liability</w:t>
            </w:r>
            <w:bookmarkEnd w:id="19"/>
          </w:p>
        </w:tc>
        <w:tc>
          <w:tcPr>
            <w:tcW w:type="dxa" w:w="6803"/>
          </w:tcPr>
          <w:p>
            <w:r>
              <w:rPr>
                <w:b w:val="0"/>
                <w:i w:val="0"/>
              </w:rPr>
              <w:t>The maximum amount shown in the schedule we will pay for all claims and defence costs combined during the policy period, unless a specific sub-limit applies.</w:t>
            </w:r>
          </w:p>
        </w:tc>
      </w:tr>
      <w:tr>
        <w:tc>
          <w:tcPr>
            <w:tcW w:type="dxa" w:w="2608"/>
          </w:tcPr>
          <w:p>
            <w:bookmarkStart w:id="20" w:name="c_pi_def_loss"/>
            <w:r>
              <w:rPr>
                <w:b/>
                <w:i w:val="0"/>
              </w:rPr>
              <w:t>Loss</w:t>
            </w:r>
            <w:bookmarkEnd w:id="20"/>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1" w:name="c_pi_def_named_insured"/>
            <w:r>
              <w:rPr>
                <w:b/>
                <w:i w:val="0"/>
              </w:rPr>
              <w:t>Named insured</w:t>
            </w:r>
            <w:bookmarkEnd w:id="21"/>
          </w:p>
        </w:tc>
        <w:tc>
          <w:tcPr>
            <w:tcW w:type="dxa" w:w="6803"/>
          </w:tcPr>
          <w:p>
            <w:r>
              <w:rPr>
                <w:b w:val="0"/>
                <w:i w:val="0"/>
              </w:rPr>
              <w:t>The entity shown as the named insured in the schedule.</w:t>
            </w:r>
          </w:p>
        </w:tc>
      </w:tr>
      <w:tr>
        <w:tc>
          <w:tcPr>
            <w:tcW w:type="dxa" w:w="2608"/>
          </w:tcPr>
          <w:p>
            <w:bookmarkStart w:id="22" w:name="c_pi_def_policy_period"/>
            <w:r>
              <w:rPr>
                <w:b/>
                <w:i w:val="0"/>
              </w:rPr>
              <w:t>Policy period</w:t>
            </w:r>
            <w:bookmarkEnd w:id="22"/>
          </w:p>
        </w:tc>
        <w:tc>
          <w:tcPr>
            <w:tcW w:type="dxa" w:w="6803"/>
          </w:tcPr>
          <w:p>
            <w:r>
              <w:rPr>
                <w:b w:val="0"/>
                <w:i w:val="0"/>
              </w:rPr>
              <w:t>The period shown in the schedule, from the start date to the end date, both inclusive.</w:t>
            </w:r>
          </w:p>
        </w:tc>
      </w:tr>
      <w:tr>
        <w:tc>
          <w:tcPr>
            <w:tcW w:type="dxa" w:w="2608"/>
          </w:tcPr>
          <w:p>
            <w:bookmarkStart w:id="23" w:name="c_pi_def_pollution"/>
            <w:r>
              <w:rPr>
                <w:b/>
                <w:i w:val="0"/>
              </w:rPr>
              <w:t>Pollution</w:t>
            </w:r>
            <w:bookmarkEnd w:id="23"/>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4" w:name="c_pi_def_predecessor_practice"/>
            <w:r>
              <w:rPr>
                <w:b/>
                <w:i w:val="0"/>
              </w:rPr>
              <w:t>Predecessor practice</w:t>
            </w:r>
            <w:bookmarkEnd w:id="24"/>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5" w:name="c_pi_et_def_professional_services"/>
            <w:r>
              <w:rPr>
                <w:b/>
                <w:i w:val="0"/>
              </w:rPr>
              <w:t>Professional services</w:t>
            </w:r>
            <w:bookmarkEnd w:id="25"/>
          </w:p>
        </w:tc>
        <w:tc>
          <w:tcPr>
            <w:tcW w:type="dxa" w:w="6803"/>
          </w:tcPr>
          <w:p>
            <w:r>
              <w:rPr>
                <w:b w:val="0"/>
                <w:i w:val="0"/>
              </w:rPr>
              <w:t>The following services provided for a fee, a grant or other funding:</w:t>
            </w:r>
          </w:p>
          <w:p>
            <w:r>
              <w:rPr>
                <w:b w:val="0"/>
                <w:i w:val="0"/>
              </w:rPr>
              <w:t>(a) education and training by a school, higher education provider or registered training organisation, including teaching, assessment, the issue of qualifications and statements of attainment, and student support;</w:t>
            </w:r>
          </w:p>
          <w:p>
            <w:r>
              <w:rPr>
                <w:b w:val="0"/>
                <w:i w:val="0"/>
              </w:rPr>
              <w:t>(b) tutoring and coaching;</w:t>
            </w:r>
          </w:p>
          <w:p>
            <w:r>
              <w:rPr>
                <w:b w:val="0"/>
                <w:i w:val="0"/>
              </w:rPr>
              <w:t>(c) course and curriculum design;</w:t>
            </w:r>
          </w:p>
          <w:p>
            <w:r>
              <w:rPr>
                <w:b w:val="0"/>
                <w:i w:val="0"/>
              </w:rPr>
              <w:t>(d) recruiting and advising students as an education agent; and</w:t>
            </w:r>
          </w:p>
          <w:p>
            <w:r>
              <w:rPr>
                <w:b w:val="0"/>
                <w:i w:val="0"/>
              </w:rPr>
              <w:t>(e) any other service shown in the schedule as a professional service.</w:t>
            </w:r>
          </w:p>
          <w:p>
            <w:r>
              <w:rPr>
                <w:b w:val="0"/>
                <w:i w:val="0"/>
              </w:rPr>
              <w:t>A service in (a) is a professional service only while you hold the registration that the law requires to provide it.</w:t>
            </w:r>
          </w:p>
        </w:tc>
      </w:tr>
      <w:tr>
        <w:tc>
          <w:tcPr>
            <w:tcW w:type="dxa" w:w="2608"/>
          </w:tcPr>
          <w:p>
            <w:bookmarkStart w:id="26" w:name="c_pi_def_retroactive_date"/>
            <w:r>
              <w:rPr>
                <w:b/>
                <w:i w:val="0"/>
              </w:rPr>
              <w:t>Retroactive date</w:t>
            </w:r>
            <w:bookmarkEnd w:id="26"/>
          </w:p>
        </w:tc>
        <w:tc>
          <w:tcPr>
            <w:tcW w:type="dxa" w:w="6803"/>
          </w:tcPr>
          <w:p>
            <w:r>
              <w:rPr>
                <w:b w:val="0"/>
                <w:i w:val="0"/>
              </w:rPr>
              <w:t>The date shown in the schedule. We only cover claims arising from acts, errors, or omissions on or after this date.</w:t>
            </w:r>
          </w:p>
          <w:p>
            <w:r>
              <w:rPr>
                <w:b w:val="0"/>
                <w:i w:val="0"/>
              </w:rPr>
              <w:t>If no date is shown in the schedule, the retroactive date is the date this policy first started or, if this policy renews or replaces an earlier policy that we issued to the named insured without a break in cover, the date the earliest of those policies started.</w:t>
            </w:r>
          </w:p>
          <w:p>
            <w:r>
              <w:rPr>
                <w:b w:val="0"/>
                <w:i w:val="0"/>
              </w:rPr>
              <w:t>A date that an extension of this policy expressly sets for a particular claim applies to that claim instead of the date shown in the schedule.</w:t>
            </w:r>
          </w:p>
        </w:tc>
      </w:tr>
      <w:tr>
        <w:tc>
          <w:tcPr>
            <w:tcW w:type="dxa" w:w="2608"/>
          </w:tcPr>
          <w:p>
            <w:bookmarkStart w:id="27" w:name="c_pi_def_schedule"/>
            <w:r>
              <w:rPr>
                <w:b/>
                <w:i w:val="0"/>
              </w:rPr>
              <w:t>Schedule</w:t>
            </w:r>
            <w:bookmarkEnd w:id="27"/>
          </w:p>
        </w:tc>
        <w:tc>
          <w:tcPr>
            <w:tcW w:type="dxa" w:w="6803"/>
          </w:tcPr>
          <w:p>
            <w:r>
              <w:rPr>
                <w:b w:val="0"/>
                <w:i w:val="0"/>
              </w:rPr>
              <w:t>The document titled "Schedule" issued with this policy, as amended by any endorsement.</w:t>
            </w:r>
          </w:p>
        </w:tc>
      </w:tr>
      <w:tr>
        <w:tc>
          <w:tcPr>
            <w:tcW w:type="dxa" w:w="2608"/>
          </w:tcPr>
          <w:p>
            <w:bookmarkStart w:id="28" w:name="c_pi_def_subsidiary"/>
            <w:r>
              <w:rPr>
                <w:b/>
                <w:i w:val="0"/>
              </w:rPr>
              <w:t>Subsidiary</w:t>
            </w:r>
            <w:bookmarkEnd w:id="28"/>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29" w:name="c_pi_def_we_us_our"/>
            <w:r>
              <w:rPr>
                <w:b/>
                <w:i w:val="0"/>
              </w:rPr>
              <w:t>We / us / our</w:t>
            </w:r>
            <w:bookmarkEnd w:id="29"/>
          </w:p>
        </w:tc>
        <w:tc>
          <w:tcPr>
            <w:tcW w:type="dxa" w:w="6803"/>
          </w:tcPr>
          <w:p>
            <w:r>
              <w:rPr>
                <w:b w:val="0"/>
                <w:i w:val="0"/>
              </w:rPr>
              <w:t>The insurer named in the schedule.</w:t>
            </w:r>
          </w:p>
        </w:tc>
      </w:tr>
      <w:tr>
        <w:tc>
          <w:tcPr>
            <w:tcW w:type="dxa" w:w="2608"/>
          </w:tcPr>
          <w:p>
            <w:bookmarkStart w:id="30" w:name="c_pi_def_you_your"/>
            <w:r>
              <w:rPr>
                <w:b/>
                <w:i w:val="0"/>
              </w:rPr>
              <w:t>You / your</w:t>
            </w:r>
            <w:bookmarkEnd w:id="30"/>
          </w:p>
        </w:tc>
        <w:tc>
          <w:tcPr>
            <w:tcW w:type="dxa" w:w="6803"/>
          </w:tcPr>
          <w:p>
            <w:r>
              <w:rPr>
                <w:b w:val="0"/>
                <w:i w:val="0"/>
              </w:rPr>
              <w:t>(a) the company; and (b) any insured person.</w:t>
            </w:r>
          </w:p>
        </w:tc>
      </w:tr>
    </w:tbl>
    <w:p>
      <w:bookmarkStart w:id="31" w:name="c_pi_section_cover"/>
      <w:r>
        <w:rPr>
          <w:rFonts w:ascii="Georgia" w:hAnsi="Georgia" w:eastAsia="Georgia"/>
          <w:b/>
          <w:i w:val="0"/>
          <w:color w:val="1C1915"/>
          <w:sz w:val="32"/>
        </w:rPr>
        <w:t>What Is Covered</w:t>
      </w:r>
      <w:bookmarkEnd w:id="31"/>
    </w:p>
    <w:p>
      <w:bookmarkStart w:id="32" w:name="c_pi_cover_claims_against_you"/>
      <w:r>
        <w:rPr>
          <w:rFonts w:ascii="Georgia" w:hAnsi="Georgia" w:eastAsia="Georgia"/>
          <w:b/>
          <w:i w:val="0"/>
          <w:color w:val="2E5C4E"/>
          <w:sz w:val="25"/>
        </w:rPr>
        <w:t>Claims Against You</w:t>
      </w:r>
      <w:bookmarkEnd w:id="32"/>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(vii) dishonesty of your employees (where you are liable to a third party for your employee's conduct)</w:t>
      </w:r>
    </w:p>
    <w:p>
      <w:pPr>
        <w:pStyle w:val="ListBullet"/>
      </w:pPr>
      <w:r>
        <w:rPr>
          <w:b w:val="0"/>
          <w:i w:val="0"/>
        </w:rPr>
        <w:t>(viii) any other civil liability arising from your professional services</w:t>
      </w:r>
    </w:p>
    <w:p>
      <w:r>
        <w:rPr>
          <w:b w:val="0"/>
          <w:i w:val="0"/>
        </w:rPr>
        <w:t xml:space="preserve">unless excluded under </w:t>
      </w:r>
      <w:hyperlink w:anchor="c_pi_section_exclusions">
        <w:r>
          <w:rPr>
            <w:color w:val="2E5C4E"/>
            <w:u w:val="single"/>
          </w:rPr>
          <w:t xml:space="preserve">the What Is Not Covered section</w:t>
        </w:r>
      </w:hyperlink>
      <w:r>
        <w:rPr>
          <w:b w:val="0"/>
          <w:i w:val="0"/>
        </w:rPr>
        <w: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For that claim we pay only your defence costs, whether or not the allegation falls within heads (i) to (viii). We do not pay any fine, penalty, costs order in favour of the body, or cost of complying with an order, condition or direction made against you. The most we will pay for those defence costs in the policy period is the sub-limit for disciplinary defence costs in </w:t>
      </w:r>
      <w:hyperlink w:anchor="c_pi_pay_sub_limits">
        <w:r>
          <w:rPr>
            <w:color w:val="2E5C4E"/>
            <w:u w:val="single"/>
          </w:rPr>
          <w:t xml:space="preserve">the Sub-Limits provision</w:t>
        </w:r>
      </w:hyperlink>
      <w:r>
        <w:rPr>
          <w:b w:val="0"/>
          <w:i w:val="0"/>
        </w:rPr>
        <w:t xml:space="preserve">. </w:t>
      </w:r>
      <w:hyperlink w:anchor="c_pi_ext_inquiry_costs">
        <w:r>
          <w:rPr>
            <w:color w:val="2E5C4E"/>
            <w:u w:val="single"/>
          </w:rPr>
          <w:t xml:space="preserve">The Inquiry Costs extension</w:t>
        </w:r>
      </w:hyperlink>
      <w:r>
        <w:rPr>
          <w:b w:val="0"/>
          <w:i w:val="0"/>
        </w:rPr>
        <w:t xml:space="preserve"> applies to an investigation or inquiry that has not yet become a formal complaint or proceeding.</w:t>
      </w:r>
    </w:p>
    <w:p>
      <w:bookmarkStart w:id="33" w:name="c_pi_cover_notification_of_circumstances"/>
      <w:r>
        <w:rPr>
          <w:rFonts w:ascii="Georgia" w:hAnsi="Georgia" w:eastAsia="Georgia"/>
          <w:b/>
          <w:i w:val="0"/>
          <w:color w:val="2E5C4E"/>
          <w:sz w:val="25"/>
        </w:rPr>
        <w:t>Notification of Circumstances</w:t>
      </w:r>
      <w:bookmarkEnd w:id="33"/>
    </w:p>
    <w:p>
      <w:r>
        <w:rPr>
          <w:b w:val="0"/>
          <w:i w:val="0"/>
        </w:rPr>
        <w:t>If during the policy period you become aware of any fact, matter, or circumstance that might give rise to a claim against you, and you tell us about it in writing during the policy period, then any claim that later arises from those facts will be treated as a claim first made during this policy period. This clause implements s.40(3) of the Insurance Contracts Act 1984 (Cth). If that section gives you greater protection than this clause, it applies instead.</w:t>
      </w:r>
    </w:p>
    <w:p>
      <w:r>
        <w:rPr>
          <w:b w:val="0"/>
          <w:i w:val="0"/>
        </w:rPr>
        <w:t>Your written notice should include, as far as you are able: (a) the reasons why you think a claim might arise; (b) the details of the act, error, or omission involved; (c) the identity of any potential claimant (if known); and (d) an estimate of the potential value (if possible).</w:t>
      </w:r>
    </w:p>
    <w:p>
      <w:bookmarkStart w:id="34" w:name="c_pi_ext_avoiding_a_potential_claim"/>
      <w:r>
        <w:rPr>
          <w:rFonts w:ascii="Georgia" w:hAnsi="Georgia" w:eastAsia="Georgia"/>
          <w:b/>
          <w:i w:val="0"/>
          <w:color w:val="2E5C4E"/>
          <w:sz w:val="25"/>
        </w:rPr>
        <w:t>Avoiding a Potential Claim</w:t>
      </w:r>
      <w:bookmarkEnd w:id="34"/>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pi_cover_claims_against_you">
        <w:r>
          <w:rPr>
            <w:color w:val="2E5C4E"/>
            <w:u w:val="single"/>
          </w:rPr>
          <w:t xml:space="preserve">the Claims Against You clause</w:t>
        </w:r>
      </w:hyperlink>
      <w:r>
        <w:rPr>
          <w:b w:val="0"/>
          <w:i w:val="0"/>
        </w:rPr>
        <w:t xml:space="preserve">; (b) your client has threatened, in writing or otherwise on the record, to bring such a claim for an amount exceeding the disputed fee; and (c) we reasonably consider that paying you the disputed amount is likely to avoid that claim being made. This extension applies only if the claim you are avoiding would be covered under </w:t>
      </w:r>
      <w:hyperlink w:anchor="c_pi_cover_claims_against_you">
        <w:r>
          <w:rPr>
            <w:color w:val="2E5C4E"/>
            <w:u w:val="single"/>
          </w:rPr>
          <w:t xml:space="preserve">the Claims Against You clause</w:t>
        </w:r>
      </w:hyperlink>
      <w:r>
        <w:rPr>
          <w:b w:val="0"/>
          <w:i w:val="0"/>
        </w:rPr>
        <w:t>, including its requirement that your business activity was performed on or after the retroactive date.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pi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5" w:name="c_pi_section_extensions"/>
      <w:r>
        <w:rPr>
          <w:rFonts w:ascii="Georgia" w:hAnsi="Georgia" w:eastAsia="Georgia"/>
          <w:b/>
          <w:i w:val="0"/>
          <w:color w:val="1C1915"/>
          <w:sz w:val="32"/>
        </w:rPr>
        <w:t>Extensions of Cover</w:t>
      </w:r>
      <w:bookmarkEnd w:id="35"/>
    </w:p>
    <w:p>
      <w:r>
        <w:rPr>
          <w:b w:val="0"/>
          <w:i w:val="0"/>
        </w:rPr>
        <w:t>The following extensions are included automatically and are subject to the limit of liability unless a separate sub-limit is stated.</w:t>
      </w:r>
    </w:p>
    <w:p>
      <w:bookmarkStart w:id="36" w:name="c_pi_ext_loss_of_documents_and_data"/>
      <w:r>
        <w:rPr>
          <w:rFonts w:ascii="Georgia" w:hAnsi="Georgia" w:eastAsia="Georgia"/>
          <w:b/>
          <w:i w:val="0"/>
          <w:color w:val="2E5C4E"/>
          <w:sz w:val="25"/>
        </w:rPr>
        <w:t>Loss of Documents and Data</w:t>
      </w:r>
      <w:bookmarkEnd w:id="36"/>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pi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37" w:name="c_pi_ext_first_party_dishonesty"/>
      <w:r>
        <w:rPr>
          <w:rFonts w:ascii="Georgia" w:hAnsi="Georgia" w:eastAsia="Georgia"/>
          <w:b/>
          <w:i w:val="0"/>
          <w:color w:val="2E5C4E"/>
          <w:sz w:val="25"/>
        </w:rPr>
        <w:t>First-Party Dishonesty</w:t>
      </w:r>
      <w:bookmarkEnd w:id="37"/>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r>
        <w:rPr>
          <w:b w:val="0"/>
          <w:i w:val="0"/>
        </w:rPr>
        <w:t xml:space="preserve">The most we will pay under this extension in the policy period is the sub-limit for first-party dishonesty in </w:t>
      </w:r>
      <w:hyperlink w:anchor="c_pi_pay_sub_limits">
        <w:r>
          <w:rPr>
            <w:color w:val="2E5C4E"/>
            <w:u w:val="single"/>
          </w:rPr>
          <w:t xml:space="preserve">the Sub-Limits provision</w:t>
        </w:r>
      </w:hyperlink>
      <w:r>
        <w:rPr>
          <w:b w:val="0"/>
          <w:i w:val="0"/>
        </w:rPr>
        <w:t>.</w:t>
      </w:r>
    </w:p>
    <w:p>
      <w:bookmarkStart w:id="38" w:name="c_pi_ext_statutory_liability"/>
      <w:r>
        <w:rPr>
          <w:rFonts w:ascii="Georgia" w:hAnsi="Georgia" w:eastAsia="Georgia"/>
          <w:b/>
          <w:i w:val="0"/>
          <w:color w:val="2E5C4E"/>
          <w:sz w:val="25"/>
        </w:rPr>
        <w:t>Statutory Liability</w:t>
      </w:r>
      <w:bookmarkEnd w:id="38"/>
    </w:p>
    <w:p>
      <w:r>
        <w:rPr>
          <w:b w:val="0"/>
          <w:i w:val="0"/>
        </w:rPr>
        <w:t xml:space="preserve">We will pay insurable fines, penalties, and defence costs arising from a prosecution or formal regulatory proceeding brought against you during the policy period under any Australian statute, in connection with your business activity performed on or after the retroactive date. The most we will pay under this extension in the policy period is the sub-limit for statutory liability in </w:t>
      </w:r>
      <w:hyperlink w:anchor="c_pi_pay_sub_limits">
        <w:r>
          <w:rPr>
            <w:color w:val="2E5C4E"/>
            <w:u w:val="single"/>
          </w:rPr>
          <w:t xml:space="preserve">the Sub-Limits provision</w:t>
        </w:r>
      </w:hyperlink>
      <w:r>
        <w:rPr>
          <w:b w:val="0"/>
          <w:i w:val="0"/>
        </w:rPr>
        <w:t>.</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w:t>
      </w:r>
    </w:p>
    <w:p>
      <w:r>
        <w:rPr>
          <w:b w:val="0"/>
          <w:i w:val="0"/>
        </w:rPr>
        <w:t>[WP REVIEW: confirm the list of jurisdictions that prohibit insurance of WHS penalties; library sources differ on WA and Victoria.]</w:t>
      </w:r>
    </w:p>
    <w:p>
      <w:r>
        <w:rPr>
          <w:b w:val="0"/>
          <w:i w:val="0"/>
        </w:rPr>
        <w:t xml:space="preserve">We do not pay any amount arising from conduct that a </w:t>
      </w:r>
      <w:r>
        <w:rPr>
          <w:b/>
          <w:i w:val="0"/>
        </w:rPr>
        <w:t>Final adjudication</w:t>
      </w:r>
      <w:r>
        <w:rPr>
          <w:b w:val="0"/>
          <w:i w:val="0"/>
        </w:rPr>
        <w:t xml:space="preserve"> establishes was deliberate or reckless. Until then, we advance defence costs under </w:t>
      </w:r>
      <w:hyperlink w:anchor="c_pi_pay_defence_costs">
        <w:r>
          <w:rPr>
            <w:color w:val="2E5C4E"/>
            <w:u w:val="single"/>
          </w:rPr>
          <w:t xml:space="preserve">the Defence Costs provision</w:t>
        </w:r>
      </w:hyperlink>
      <w:r>
        <w:rPr>
          <w:b w:val="0"/>
          <w:i w:val="0"/>
        </w:rPr>
        <w:t>. If a Final adjudication, or a court's finding, then establishes conduct that this policy or the law does not allow to be covered, the insured person concerned must repay the defence costs advanced for it.</w:t>
      </w:r>
    </w:p>
    <w:p>
      <w:r>
        <w:rPr>
          <w:b w:val="0"/>
          <w:i w:val="0"/>
        </w:rPr>
        <w:t xml:space="preserve">Where an insured person who is a director or officer of the company is the subject of the prosecution or proceeding, </w:t>
      </w:r>
      <w:hyperlink w:anchor="c_pi_cond_corporations_act_ss_199a_199b">
        <w:r>
          <w:rPr>
            <w:color w:val="2E5C4E"/>
            <w:u w:val="single"/>
          </w:rPr>
          <w:t xml:space="preserve">the Corporations Act 2001 (Cth), sections 199A and 199B condition</w:t>
        </w:r>
      </w:hyperlink>
      <w:r>
        <w:rPr>
          <w:b w:val="0"/>
          <w:i w:val="0"/>
        </w:rPr>
        <w:t xml:space="preserve"> also applies.</w:t>
      </w:r>
    </w:p>
    <w:p>
      <w:bookmarkStart w:id="39" w:name="c_pi_ext_inquiry_costs"/>
      <w:r>
        <w:rPr>
          <w:rFonts w:ascii="Georgia" w:hAnsi="Georgia" w:eastAsia="Georgia"/>
          <w:b/>
          <w:i w:val="0"/>
          <w:color w:val="2E5C4E"/>
          <w:sz w:val="25"/>
        </w:rPr>
        <w:t>Inquiry Costs</w:t>
      </w:r>
      <w:bookmarkEnd w:id="39"/>
    </w:p>
    <w:p>
      <w:r>
        <w:rPr>
          <w:b w:val="0"/>
          <w:i w:val="0"/>
        </w:rPr>
        <w:t>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is first notified to us during the policy period.</w:t>
      </w:r>
    </w:p>
    <w:p>
      <w:r>
        <w:rPr>
          <w:b w:val="0"/>
          <w:i w:val="0"/>
        </w:rPr>
        <w:t xml:space="preserve">This extension applies to a formal investigation or inquiry that has not yet become a claim within paragraph (c) of </w:t>
      </w:r>
      <w:hyperlink w:anchor="c_pi_def_claim">
        <w:r>
          <w:rPr>
            <w:color w:val="2E5C4E"/>
            <w:u w:val="single"/>
          </w:rPr>
          <w:t xml:space="preserve">the definition of Claim</w:t>
        </w:r>
      </w:hyperlink>
      <w:r>
        <w:rPr>
          <w:b w:val="0"/>
          <w:i w:val="0"/>
        </w:rPr>
        <w:t xml:space="preserve">. If the investigation or inquiry becomes such a claim, cover for it continues under </w:t>
      </w:r>
      <w:hyperlink w:anchor="c_pi_cover_claims_against_you">
        <w:r>
          <w:rPr>
            <w:color w:val="2E5C4E"/>
            <w:u w:val="single"/>
          </w:rPr>
          <w:t xml:space="preserve">the Claims Against You clause</w:t>
        </w:r>
      </w:hyperlink>
      <w:r>
        <w:rPr>
          <w:b w:val="0"/>
          <w:i w:val="0"/>
        </w:rPr>
        <w:t xml:space="preserve"> instead of this extension, and the trigger, limit, and excess applicable to a claim apply from that point.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Cover for it is under </w:t>
      </w:r>
      <w:hyperlink w:anchor="c_pi_cover_claims_against_you">
        <w:r>
          <w:rPr>
            <w:color w:val="2E5C4E"/>
            <w:u w:val="single"/>
          </w:rPr>
          <w:t xml:space="preserve">the Claims Against You clause</w:t>
        </w:r>
      </w:hyperlink>
      <w:r>
        <w:rPr>
          <w:b w:val="0"/>
          <w:i w:val="0"/>
        </w:rPr>
        <w:t>, not this extension.</w:t>
      </w:r>
    </w:p>
    <w:p>
      <w:bookmarkStart w:id="40" w:name="c_pi_ext_continuous_cover"/>
      <w:r>
        <w:rPr>
          <w:rFonts w:ascii="Georgia" w:hAnsi="Georgia" w:eastAsia="Georgia"/>
          <w:b/>
          <w:i w:val="0"/>
          <w:color w:val="2E5C4E"/>
          <w:sz w:val="25"/>
        </w:rPr>
        <w:t>Continuous Cover</w:t>
      </w:r>
      <w:bookmarkEnd w:id="40"/>
    </w:p>
    <w:p>
      <w:r>
        <w:rPr>
          <w:b w:val="0"/>
          <w:i w:val="0"/>
        </w:rPr>
        <w:t xml:space="preserve">If a claim is made against you during the policy period and: (a) it arises from an act, error, or omission you should have notified under a previous PI policy; (b) no member of the </w:t>
      </w:r>
      <w:r>
        <w:rPr>
          <w:b/>
          <w:i w:val="0"/>
        </w:rPr>
        <w:t>control group</w:t>
      </w:r>
      <w:r>
        <w:rPr>
          <w:b w:val="0"/>
          <w:i w:val="0"/>
        </w:rPr>
        <w:t>, and no insured person who is claimed against, knew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1" w:name="c_pi_ext_mitigation_costs"/>
      <w:r>
        <w:rPr>
          <w:rFonts w:ascii="Georgia" w:hAnsi="Georgia" w:eastAsia="Georgia"/>
          <w:b/>
          <w:i w:val="0"/>
          <w:color w:val="2E5C4E"/>
          <w:sz w:val="25"/>
        </w:rPr>
        <w:t>Mitigation Costs</w:t>
      </w:r>
      <w:bookmarkEnd w:id="41"/>
    </w:p>
    <w:p>
      <w:r>
        <w:rPr>
          <w:b w:val="0"/>
          <w:i w:val="0"/>
        </w:rPr>
        <w:t>We will pay the reasonable costs you incur, with our prior written consent, to prevent or reduce a loss that would otherwise be covered by this policy.</w:t>
      </w:r>
    </w:p>
    <w:p>
      <w:bookmarkStart w:id="42" w:name="c_pi_ext_public_relations_costs"/>
      <w:r>
        <w:rPr>
          <w:rFonts w:ascii="Georgia" w:hAnsi="Georgia" w:eastAsia="Georgia"/>
          <w:b/>
          <w:i w:val="0"/>
          <w:color w:val="2E5C4E"/>
          <w:sz w:val="25"/>
        </w:rPr>
        <w:t>Public Relations Costs</w:t>
      </w:r>
      <w:bookmarkEnd w:id="42"/>
    </w:p>
    <w:p>
      <w:r>
        <w:rPr>
          <w:b w:val="0"/>
          <w:i w:val="0"/>
        </w:rPr>
        <w:t xml:space="preserve">Following a claim covered by this policy, we will pay the reasonable costs of engaging a public relations consultant to protect or restore your professional reputation. The most we will pay under this extension in the policy period is the sub-limit for public relations costs in </w:t>
      </w:r>
      <w:hyperlink w:anchor="c_pi_pay_sub_limits">
        <w:r>
          <w:rPr>
            <w:color w:val="2E5C4E"/>
            <w:u w:val="single"/>
          </w:rPr>
          <w:t xml:space="preserve">the Sub-Limits provision</w:t>
        </w:r>
      </w:hyperlink>
      <w:r>
        <w:rPr>
          <w:b w:val="0"/>
          <w:i w:val="0"/>
        </w:rPr>
        <w:t>.</w:t>
      </w:r>
    </w:p>
    <w:p>
      <w:bookmarkStart w:id="43" w:name="c_pi_ext_court_attendance"/>
      <w:r>
        <w:rPr>
          <w:rFonts w:ascii="Georgia" w:hAnsi="Georgia" w:eastAsia="Georgia"/>
          <w:b/>
          <w:i w:val="0"/>
          <w:color w:val="2E5C4E"/>
          <w:sz w:val="25"/>
        </w:rPr>
        <w:t>Court Attendance</w:t>
      </w:r>
      <w:bookmarkEnd w:id="43"/>
    </w:p>
    <w:p>
      <w:r>
        <w:rPr>
          <w:b w:val="0"/>
          <w:i w:val="0"/>
        </w:rPr>
        <w:t xml:space="preserve">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sub-limit for court attendance in </w:t>
      </w:r>
      <w:hyperlink w:anchor="c_pi_pay_sub_limits">
        <w:r>
          <w:rPr>
            <w:color w:val="2E5C4E"/>
            <w:u w:val="single"/>
          </w:rPr>
          <w:t xml:space="preserve">the Sub-Limits provision</w:t>
        </w:r>
      </w:hyperlink>
      <w:r>
        <w:rPr>
          <w:b w:val="0"/>
          <w:i w:val="0"/>
        </w:rPr>
        <w:t>.</w:t>
      </w:r>
    </w:p>
    <w:p>
      <w:bookmarkStart w:id="44" w:name="c_pi_ext_newly_acquired_subsidiaries"/>
      <w:r>
        <w:rPr>
          <w:rFonts w:ascii="Georgia" w:hAnsi="Georgia" w:eastAsia="Georgia"/>
          <w:b/>
          <w:i w:val="0"/>
          <w:color w:val="2E5C4E"/>
          <w:sz w:val="25"/>
        </w:rPr>
        <w:t>Newly Acquired Subsidiaries</w:t>
      </w:r>
      <w:bookmarkEnd w:id="44"/>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45" w:name="c_pi_ext_joint_ventures"/>
      <w:r>
        <w:rPr>
          <w:rFonts w:ascii="Georgia" w:hAnsi="Georgia" w:eastAsia="Georgia"/>
          <w:b/>
          <w:i w:val="0"/>
          <w:color w:val="2E5C4E"/>
          <w:sz w:val="25"/>
        </w:rPr>
        <w:t>Joint Ventures</w:t>
      </w:r>
      <w:bookmarkEnd w:id="45"/>
    </w:p>
    <w:p>
      <w:r>
        <w:rPr>
          <w:b w:val="0"/>
          <w:i w:val="0"/>
        </w:rPr>
        <w:t xml:space="preserve">We will cover your liability arising from a claim in connection with a </w:t>
      </w:r>
      <w:r>
        <w:rPr>
          <w:b/>
          <w:i w:val="0"/>
        </w:rPr>
        <w:t>joint venture</w:t>
      </w:r>
      <w:r>
        <w:rPr>
          <w:b w:val="0"/>
          <w:i w:val="0"/>
        </w:rPr>
        <w:t xml:space="preserve"> in which you hold an interest of 50% or more,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46" w:name="c_pi_ext_predecessor_practices"/>
      <w:r>
        <w:rPr>
          <w:rFonts w:ascii="Georgia" w:hAnsi="Georgia" w:eastAsia="Georgia"/>
          <w:b/>
          <w:i w:val="0"/>
          <w:color w:val="2E5C4E"/>
          <w:sz w:val="25"/>
        </w:rPr>
        <w:t>Predecessor Practices</w:t>
      </w:r>
      <w:bookmarkEnd w:id="46"/>
    </w:p>
    <w:p>
      <w:r>
        <w:rPr>
          <w:b w:val="0"/>
          <w:i w:val="0"/>
        </w:rPr>
        <w:t>We will cover claims arising from the business activity of any predecessor practice, as if the predecessor practice's work had been performed by you.</w:t>
      </w:r>
    </w:p>
    <w:p>
      <w:bookmarkStart w:id="47" w:name="c_pi_ext_run_off_cover"/>
      <w:r>
        <w:rPr>
          <w:rFonts w:ascii="Georgia" w:hAnsi="Georgia" w:eastAsia="Georgia"/>
          <w:b/>
          <w:i w:val="0"/>
          <w:color w:val="2E5C4E"/>
          <w:sz w:val="25"/>
        </w:rPr>
        <w:t>Run-Off Cover</w:t>
      </w:r>
      <w:bookmarkEnd w:id="47"/>
    </w:p>
    <w:p>
      <w:r>
        <w:rPr>
          <w:b w:val="0"/>
          <w:i w:val="0"/>
        </w:rPr>
        <w:t>If the company permanently ceases to carry on its business activity during the policy period (for any reason other than merger or acquisition), this policy continues, without additional premium, until the end of the policy period to cover claims first made against you and notified to us before the end of the policy period. All terms, conditions, exclusions, and the limit of liability continue to apply. This clause confirms that the company ceasing to practise does not end cover before the end of the policy period. The cover under this paragraph ends at the end of the policy period and is not extended beyond that date, except as set out below. An insured person other than the company ceasing to practise does not start run-off cover under this clause.</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is implemented under Endorsement E01, for the period, on payment of the premium, and subject to the terms shown in the schedule or endorsement schedule for that endorsement.</w:t>
      </w:r>
    </w:p>
    <w:p>
      <w:r>
        <w:rPr>
          <w:b w:val="0"/>
          <w:i w:val="0"/>
        </w:rPr>
        <w:t xml:space="preserve">Nothing in this extension affects your rights, or our obligations, under </w:t>
      </w:r>
      <w:hyperlink w:anchor="c_pi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pi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48" w:name="c_pi_ext_subcontractors_and_outsourcers"/>
      <w:r>
        <w:rPr>
          <w:rFonts w:ascii="Georgia" w:hAnsi="Georgia" w:eastAsia="Georgia"/>
          <w:b/>
          <w:i w:val="0"/>
          <w:color w:val="2E5C4E"/>
          <w:sz w:val="25"/>
        </w:rPr>
        <w:t>Subcontractors and Outsourcers</w:t>
      </w:r>
      <w:bookmarkEnd w:id="48"/>
    </w:p>
    <w:p>
      <w:r>
        <w:rPr>
          <w:b w:val="0"/>
          <w:i w:val="0"/>
        </w:rPr>
        <w:t>We will cover you for any claim arising from work performed on your behalf by a subcontractor or outsourcer, provided the work falls within your business activity.</w:t>
      </w:r>
    </w:p>
    <w:p>
      <w:bookmarkStart w:id="49" w:name="c_pi_et_ext_failure_to_educate"/>
      <w:r>
        <w:rPr>
          <w:rFonts w:ascii="Georgia" w:hAnsi="Georgia" w:eastAsia="Georgia"/>
          <w:b/>
          <w:i w:val="0"/>
          <w:color w:val="2E5C4E"/>
          <w:sz w:val="25"/>
        </w:rPr>
        <w:t>Failure to Educate</w:t>
      </w:r>
      <w:bookmarkEnd w:id="49"/>
    </w:p>
    <w:p>
      <w:r>
        <w:rPr>
          <w:b w:val="0"/>
          <w:i w:val="0"/>
        </w:rPr>
        <w:t>We cover you for a claim by a student, or a person paying for a student, that you failed to provide the education, training or assessment that you promised or that the law required, including a claim arising from the cancellation of a qualification or statement of attainment that you issued.</w:t>
      </w:r>
    </w:p>
    <w:p>
      <w:r>
        <w:rPr>
          <w:b w:val="0"/>
          <w:i w:val="0"/>
        </w:rPr>
        <w:t xml:space="preserve">The cover is for compensation for loss that your failure caused, such as the cost of replacement training or assessment. It does not extend to the refund of tuition fees, which is dealt with by </w:t>
      </w:r>
      <w:hyperlink w:anchor="c_pi_et_excl_fee_refunds">
        <w:r>
          <w:rPr>
            <w:color w:val="2E5C4E"/>
            <w:u w:val="single"/>
          </w:rPr>
          <w:t xml:space="preserve">the Fee Refunds exclusion</w:t>
        </w:r>
      </w:hyperlink>
      <w:r>
        <w:rPr>
          <w:b w:val="0"/>
          <w:i w:val="0"/>
        </w:rPr>
        <w:t xml:space="preserve">, or to liability greater than the liability you would have at law, which is dealt with by </w:t>
      </w:r>
      <w:hyperlink w:anchor="c_pi_excl_contractual_liability">
        <w:r>
          <w:rPr>
            <w:color w:val="2E5C4E"/>
            <w:u w:val="single"/>
          </w:rPr>
          <w:t xml:space="preserve">the Contractual Liability exclusion</w:t>
        </w:r>
      </w:hyperlink>
      <w:r>
        <w:rPr>
          <w:b w:val="0"/>
          <w:i w:val="0"/>
        </w:rPr>
        <w:t>.</w:t>
      </w:r>
    </w:p>
    <w:p>
      <w:bookmarkStart w:id="50" w:name="c_pi_et_ext_reassessment_costs"/>
      <w:r>
        <w:rPr>
          <w:rFonts w:ascii="Georgia" w:hAnsi="Georgia" w:eastAsia="Georgia"/>
          <w:b/>
          <w:i w:val="0"/>
          <w:color w:val="2E5C4E"/>
          <w:sz w:val="25"/>
        </w:rPr>
        <w:t>Re-assessment and Re-issue Costs</w:t>
      </w:r>
      <w:bookmarkEnd w:id="50"/>
    </w:p>
    <w:p>
      <w:r>
        <w:rPr>
          <w:b w:val="0"/>
          <w:i w:val="0"/>
        </w:rPr>
        <w:t xml:space="preserve">If a regulator finds that your assessment of students did not meet the standards that apply, and the finding is made against you in a claim, or you tell us about it as a circumstance under </w:t>
      </w:r>
      <w:hyperlink w:anchor="c_pi_cover_notification_of_circumstances">
        <w:r>
          <w:rPr>
            <w:color w:val="2E5C4E"/>
            <w:u w:val="single"/>
          </w:rPr>
          <w:t xml:space="preserve">the Notification of Circumstances clause</w:t>
        </w:r>
      </w:hyperlink>
      <w:r>
        <w:rPr>
          <w:b w:val="0"/>
          <w:i w:val="0"/>
        </w:rPr>
        <w:t>, during the policy period, and the assessments were made on or after the retroactive date, we will pay the reasonable costs, incurred with our consent, of re-assessing the affected students, providing additional training to them, and re-issuing their qualifications or statements of attainment.</w:t>
      </w:r>
    </w:p>
    <w:p>
      <w:r>
        <w:rPr>
          <w:b w:val="0"/>
          <w:i w:val="0"/>
        </w:rPr>
        <w:t>The most we will pay under this extension in the policy period is the sub-limit shown in the schedule, or $50,000 if no sub-limit is shown, which is part of the limit of liability.</w:t>
      </w:r>
    </w:p>
    <w:p>
      <w:bookmarkStart w:id="51" w:name="c_pi_et_ext_education_regulators"/>
      <w:r>
        <w:rPr>
          <w:rFonts w:ascii="Georgia" w:hAnsi="Georgia" w:eastAsia="Georgia"/>
          <w:b/>
          <w:i w:val="0"/>
          <w:color w:val="2E5C4E"/>
          <w:sz w:val="25"/>
        </w:rPr>
        <w:t>Education Regulators</w:t>
      </w:r>
      <w:bookmarkEnd w:id="51"/>
    </w:p>
    <w:p>
      <w:r>
        <w:rPr>
          <w:b w:val="0"/>
          <w:i w:val="0"/>
        </w:rPr>
        <w:t xml:space="preserve">We also pay defence costs under </w:t>
      </w:r>
      <w:hyperlink w:anchor="c_pi_ext_inquiry_costs">
        <w:r>
          <w:rPr>
            <w:color w:val="2E5C4E"/>
            <w:u w:val="single"/>
          </w:rPr>
          <w:t xml:space="preserve">the Inquiry Costs extension</w:t>
        </w:r>
      </w:hyperlink>
      <w:r>
        <w:rPr>
          <w:b w:val="0"/>
          <w:i w:val="0"/>
        </w:rPr>
        <w:t xml:space="preserve"> for an audit, investigation or inquiry into your conduct by an education regulator, including ASQA, TEQSA, the Victorian Registration and Qualifications Authority, the Training Accreditation Council of Western Australia, and a state or territory school registration authority, that is prompted by a complaint, an allegation or a suspected breach. For this purpose that audit, investigation or inquiry is treated as a formal investigation or inquiry by a regulator.</w:t>
      </w:r>
    </w:p>
    <w:p>
      <w:r>
        <w:rPr>
          <w:b w:val="0"/>
          <w:i w:val="0"/>
        </w:rPr>
        <w:t>This extension does not cover the cost of a routine registration or re-registration audit, or any other audit that the regulator carries out as part of its regular monitoring and not because of a complaint, allegation or suspected breach.</w:t>
      </w:r>
    </w:p>
    <w:p>
      <w:bookmarkStart w:id="52" w:name="c_pi_et_ext_teachers_and_volunteers"/>
      <w:r>
        <w:rPr>
          <w:rFonts w:ascii="Georgia" w:hAnsi="Georgia" w:eastAsia="Georgia"/>
          <w:b/>
          <w:i w:val="0"/>
          <w:color w:val="2E5C4E"/>
          <w:sz w:val="25"/>
        </w:rPr>
        <w:t>Teachers, Contractors and Volunteers</w:t>
      </w:r>
      <w:bookmarkEnd w:id="52"/>
    </w:p>
    <w:p>
      <w:r>
        <w:rPr>
          <w:b w:val="0"/>
          <w:i w:val="0"/>
        </w:rPr>
        <w:t>A teacher, trainer, assessor or tutor engaged by you as a contractor, and a volunteer acting for you, is an insured person for the professional services they provide on your behalf.</w:t>
      </w:r>
    </w:p>
    <w:p>
      <w:bookmarkStart w:id="53" w:name="c_pi_section_exclusions"/>
      <w:r>
        <w:rPr>
          <w:rFonts w:ascii="Georgia" w:hAnsi="Georgia" w:eastAsia="Georgia"/>
          <w:b/>
          <w:i w:val="0"/>
          <w:color w:val="1C1915"/>
          <w:sz w:val="32"/>
        </w:rPr>
        <w:t>What Is Not Covered</w:t>
      </w:r>
      <w:bookmarkEnd w:id="53"/>
    </w:p>
    <w:p>
      <w:r>
        <w:rPr>
          <w:b w:val="0"/>
          <w:i w:val="0"/>
        </w:rPr>
        <w:t>We do not cover any claim, loss, or liability:</w:t>
      </w:r>
    </w:p>
    <w:p>
      <w:bookmarkStart w:id="54" w:name="c_pi_excl_bodily_injury_and_property_dam"/>
      <w:r>
        <w:rPr>
          <w:rFonts w:ascii="Georgia" w:hAnsi="Georgia" w:eastAsia="Georgia"/>
          <w:b/>
          <w:i w:val="0"/>
          <w:color w:val="2E5C4E"/>
          <w:sz w:val="25"/>
        </w:rPr>
        <w:t>Bodily Injury and Property Damage</w:t>
      </w:r>
      <w:bookmarkEnd w:id="54"/>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5" w:name="c_pi_et_excl_abuse"/>
      <w:r>
        <w:rPr>
          <w:rFonts w:ascii="Georgia" w:hAnsi="Georgia" w:eastAsia="Georgia"/>
          <w:b/>
          <w:i w:val="0"/>
          <w:color w:val="2E5C4E"/>
          <w:sz w:val="25"/>
        </w:rPr>
        <w:t>Abuse</w:t>
      </w:r>
      <w:bookmarkEnd w:id="55"/>
    </w:p>
    <w:p>
      <w:r>
        <w:rPr>
          <w:b w:val="0"/>
          <w:i w:val="0"/>
        </w:rPr>
        <w:t>Arising from the sexual, physical or psychological abuse, molestation or harassment of any person, or from any failure to prevent, detect, report or respond to it, whether the claim is for negligence, breach of a non-delegable duty or any other cause of action.</w:t>
      </w:r>
    </w:p>
    <w:p>
      <w:r>
        <w:rPr>
          <w:b w:val="0"/>
          <w:i w:val="0"/>
        </w:rPr>
        <w:t>This exposure is designed to be covered under an abuse liability policy.</w:t>
      </w:r>
    </w:p>
    <w:p>
      <w:r>
        <w:rPr>
          <w:b w:val="0"/>
          <w:i w:val="0"/>
        </w:rPr>
        <w:t>[WP REVIEW: confirm that this exclusion, which also removes cover for failure to report abuse, is compatible with any insurance condition of school or registered training organisation registration.]</w:t>
      </w:r>
    </w:p>
    <w:p>
      <w:bookmarkStart w:id="56" w:name="c_pi_excl_employers_liability"/>
      <w:r>
        <w:rPr>
          <w:rFonts w:ascii="Georgia" w:hAnsi="Georgia" w:eastAsia="Georgia"/>
          <w:b/>
          <w:i w:val="0"/>
          <w:color w:val="2E5C4E"/>
          <w:sz w:val="25"/>
        </w:rPr>
        <w:t>Employer's Liability</w:t>
      </w:r>
      <w:bookmarkEnd w:id="56"/>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7" w:name="c_pi_excl_directors_and_officers_liabili"/>
      <w:r>
        <w:rPr>
          <w:rFonts w:ascii="Georgia" w:hAnsi="Georgia" w:eastAsia="Georgia"/>
          <w:b/>
          <w:i w:val="0"/>
          <w:color w:val="2E5C4E"/>
          <w:sz w:val="25"/>
        </w:rPr>
        <w:t>Directors' and Officers' Liability</w:t>
      </w:r>
      <w:bookmarkEnd w:id="57"/>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8" w:name="c_pi_excl_cyber_event"/>
      <w:r>
        <w:rPr>
          <w:rFonts w:ascii="Georgia" w:hAnsi="Georgia" w:eastAsia="Georgia"/>
          <w:b/>
          <w:i w:val="0"/>
          <w:color w:val="2E5C4E"/>
          <w:sz w:val="25"/>
        </w:rPr>
        <w:t>Cyber Event</w:t>
      </w:r>
      <w:bookmarkEnd w:id="58"/>
    </w:p>
    <w:p>
      <w:r>
        <w:rPr>
          <w:b w:val="0"/>
          <w:i w:val="0"/>
        </w:rPr>
        <w:t>Arising from: (a) unauthorised access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59" w:name="c_pi_excl_financial_services"/>
      <w:r>
        <w:rPr>
          <w:rFonts w:ascii="Georgia" w:hAnsi="Georgia" w:eastAsia="Georgia"/>
          <w:b/>
          <w:i w:val="0"/>
          <w:color w:val="2E5C4E"/>
          <w:sz w:val="25"/>
        </w:rPr>
        <w:t>Financial Services</w:t>
      </w:r>
      <w:bookmarkEnd w:id="59"/>
    </w:p>
    <w:p>
      <w:r>
        <w:rPr>
          <w:b w:val="0"/>
          <w:i w:val="0"/>
        </w:rPr>
        <w:t>Arising from the provision of a financial service or a credit activity, including financial product advice, dealing in or arranging dealing in a financial product, funds management, and credit activities, as those terms are used in the Corporations Act 2001 (Cth) or the National Consumer Credit Protection Act 2009 (Cth).</w:t>
      </w:r>
    </w:p>
    <w:p>
      <w:r>
        <w:rPr>
          <w:b w:val="0"/>
          <w:i w:val="0"/>
        </w:rPr>
        <w:t>This exclusion does not apply to a service that is shown in the schedule as a professional service and that you are licensed or authorised to provide, including as an authorised representative or credit representative, under the Corporations Act 2001 (Cth) or the National Consumer Credit Protection Act 2009 (Cth).</w:t>
      </w:r>
    </w:p>
    <w:p>
      <w:r>
        <w:rPr>
          <w:b w:val="0"/>
          <w:i w:val="0"/>
        </w:rPr>
        <w:t>For the avoidance of doubt, this exclusion does not apply to audit, review or insolvency work, or to a report, valuation or assessment prepared for a disclosure document or a public report, where that work is shown as a professional service and does not involve financial product advice, dealing in a financial product or a credit activity.</w:t>
      </w:r>
    </w:p>
    <w:p>
      <w:r>
        <w:rPr>
          <w:b w:val="0"/>
          <w:i w:val="0"/>
        </w:rPr>
        <w:t>[WP REVIEW: confirm that limiting this exclusion to financial services and credit activities, as those terms are used in the two Acts, leaves audit, insolvency and disclosure-document work covered and does not leave a gap for activity regulated by APRA or another regulator.]</w:t>
      </w:r>
    </w:p>
    <w:p>
      <w:bookmarkStart w:id="60" w:name="c_pi_excl_products"/>
      <w:r>
        <w:rPr>
          <w:rFonts w:ascii="Georgia" w:hAnsi="Georgia" w:eastAsia="Georgia"/>
          <w:b/>
          <w:i w:val="0"/>
          <w:color w:val="2E5C4E"/>
          <w:sz w:val="25"/>
        </w:rPr>
        <w:t>Products</w:t>
      </w:r>
      <w:bookmarkEnd w:id="60"/>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61" w:name="c_pi_excl_contractual_liability"/>
      <w:r>
        <w:rPr>
          <w:rFonts w:ascii="Georgia" w:hAnsi="Georgia" w:eastAsia="Georgia"/>
          <w:b/>
          <w:i w:val="0"/>
          <w:color w:val="2E5C4E"/>
          <w:sz w:val="25"/>
        </w:rPr>
        <w:t>Contractual Liability</w:t>
      </w:r>
      <w:bookmarkEnd w:id="61"/>
    </w:p>
    <w:p>
      <w:r>
        <w:rPr>
          <w:b w:val="0"/>
          <w:i w:val="0"/>
        </w:rPr>
        <w:t>For any liability you assume under a contract that is greater than the liability you would have at law without the contract.</w:t>
      </w:r>
    </w:p>
    <w:p>
      <w:bookmarkStart w:id="62" w:name="c_pi_excl_deliberate_and_dishonest_acts"/>
      <w:r>
        <w:rPr>
          <w:rFonts w:ascii="Georgia" w:hAnsi="Georgia" w:eastAsia="Georgia"/>
          <w:b/>
          <w:i w:val="0"/>
          <w:color w:val="2E5C4E"/>
          <w:sz w:val="25"/>
        </w:rPr>
        <w:t>Deliberate and Dishonest Acts</w:t>
      </w:r>
      <w:bookmarkEnd w:id="62"/>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pi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pi_pay_defence_costs">
        <w:r>
          <w:rPr>
            <w:color w:val="2E5C4E"/>
            <w:u w:val="single"/>
          </w:rPr>
          <w:t xml:space="preserve">the Defence Costs provision</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This exclusion does not apply to </w:t>
      </w:r>
      <w:hyperlink w:anchor="c_pi_ext_first_party_dishonesty">
        <w:r>
          <w:rPr>
            <w:color w:val="2E5C4E"/>
            <w:u w:val="single"/>
          </w:rPr>
          <w:t xml:space="preserve">the First-Party Dishonesty extension</w:t>
        </w:r>
      </w:hyperlink>
      <w:r>
        <w:rPr>
          <w:b w:val="0"/>
          <w:i w:val="0"/>
        </w:rPr>
        <w:t xml:space="preserve"> or to the cover for dishonesty of your employees under </w:t>
      </w:r>
      <w:hyperlink w:anchor="c_pi_cover_claims_against_you">
        <w:r>
          <w:rPr>
            <w:color w:val="2E5C4E"/>
            <w:u w:val="single"/>
          </w:rPr>
          <w:t xml:space="preserve">the Claims Against You clause</w:t>
        </w:r>
      </w:hyperlink>
      <w:r>
        <w:rPr>
          <w:b w:val="0"/>
          <w:i w:val="0"/>
        </w:rPr>
        <w:t>.</w:t>
      </w:r>
    </w:p>
    <w:p>
      <w:bookmarkStart w:id="63" w:name="c_pi_excl_prior_known_circumstances"/>
      <w:r>
        <w:rPr>
          <w:rFonts w:ascii="Georgia" w:hAnsi="Georgia" w:eastAsia="Georgia"/>
          <w:b/>
          <w:i w:val="0"/>
          <w:color w:val="2E5C4E"/>
          <w:sz w:val="25"/>
        </w:rPr>
        <w:t>Prior Known Circumstances</w:t>
      </w:r>
      <w:bookmarkEnd w:id="63"/>
    </w:p>
    <w:p>
      <w:r>
        <w:rPr>
          <w:b w:val="0"/>
          <w:i w:val="0"/>
        </w:rPr>
        <w:t xml:space="preserve">Arising from any fact, matter, or circumstance that a member of the </w:t>
      </w:r>
      <w:r>
        <w:rPr>
          <w:b/>
          <w:i w:val="0"/>
        </w:rPr>
        <w:t>control group</w:t>
      </w:r>
      <w:r>
        <w:rPr>
          <w:b w:val="0"/>
          <w:i w:val="0"/>
        </w:rPr>
        <w:t>, or the insured person seeking cover, knew about or ought reasonably to have known about before the start of this policy period (or before we first agreed to insure you, if earlier), and that the person knew, or ought reasonably to have known, might lead to a claim against you.</w:t>
      </w:r>
    </w:p>
    <w:p>
      <w:r>
        <w:rPr>
          <w:b w:val="0"/>
          <w:i w:val="0"/>
        </w:rPr>
        <w:t xml:space="preserve">This exclusion applies to the company on the knowledge of a member of the control group, and to an insured person on that insured person's own knowledge. The knowledge of one insured person is not imputed to another insured person: see </w:t>
      </w:r>
      <w:hyperlink w:anchor="c_pi_obl_individual_treatment_of_insured">
        <w:r>
          <w:rPr>
            <w:color w:val="2E5C4E"/>
            <w:u w:val="single"/>
          </w:rPr>
          <w:t xml:space="preserve">the Individual Treatment of Insured Persons obligation</w:t>
        </w:r>
      </w:hyperlink>
      <w:r>
        <w:rPr>
          <w:b w:val="0"/>
          <w:i w:val="0"/>
        </w:rPr>
        <w:t>.</w:t>
      </w:r>
    </w:p>
    <w:p>
      <w:bookmarkStart w:id="64" w:name="c_pi_excl_war_terrorism_and_sanctions"/>
      <w:r>
        <w:rPr>
          <w:rFonts w:ascii="Georgia" w:hAnsi="Georgia" w:eastAsia="Georgia"/>
          <w:b/>
          <w:i w:val="0"/>
          <w:color w:val="2E5C4E"/>
          <w:sz w:val="25"/>
        </w:rPr>
        <w:t>War and Terrorism</w:t>
      </w:r>
      <w:bookmarkEnd w:id="64"/>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in </w:t>
      </w:r>
      <w:hyperlink w:anchor="c_pi_cond_sanctions">
        <w:r>
          <w:rPr>
            <w:color w:val="2E5C4E"/>
            <w:u w:val="single"/>
          </w:rPr>
          <w:t xml:space="preserve">the Sanctions condition</w:t>
        </w:r>
      </w:hyperlink>
      <w:r>
        <w:rPr>
          <w:b w:val="0"/>
          <w:i w:val="0"/>
        </w:rPr>
        <w:t>.</w:t>
      </w:r>
    </w:p>
    <w:p>
      <w:bookmarkStart w:id="65" w:name="c_pi_excl_nuclear"/>
      <w:r>
        <w:rPr>
          <w:rFonts w:ascii="Georgia" w:hAnsi="Georgia" w:eastAsia="Georgia"/>
          <w:b/>
          <w:i w:val="0"/>
          <w:color w:val="2E5C4E"/>
          <w:sz w:val="25"/>
        </w:rPr>
        <w:t>Nuclear</w:t>
      </w:r>
      <w:bookmarkEnd w:id="65"/>
    </w:p>
    <w:p>
      <w:r>
        <w:rPr>
          <w:b w:val="0"/>
          <w:i w:val="0"/>
        </w:rPr>
        <w:t>Arising from nuclear reaction, radiation, or radioactive contamination, however caused.</w:t>
      </w:r>
    </w:p>
    <w:p>
      <w:bookmarkStart w:id="66" w:name="c_pi_excl_asbestos"/>
      <w:r>
        <w:rPr>
          <w:rFonts w:ascii="Georgia" w:hAnsi="Georgia" w:eastAsia="Georgia"/>
          <w:b/>
          <w:i w:val="0"/>
          <w:color w:val="2E5C4E"/>
          <w:sz w:val="25"/>
        </w:rPr>
        <w:t>Asbestos</w:t>
      </w:r>
      <w:bookmarkEnd w:id="66"/>
    </w:p>
    <w:p>
      <w:r>
        <w:rPr>
          <w:b w:val="0"/>
          <w:i w:val="0"/>
        </w:rPr>
        <w:t>Arising from or in connection with asbestos in any form, including its mining, manufacture, distribution, installation, presence, removal, or disposal.</w:t>
      </w:r>
    </w:p>
    <w:p>
      <w:bookmarkStart w:id="67" w:name="c_pi_excl_pollution"/>
      <w:r>
        <w:rPr>
          <w:rFonts w:ascii="Georgia" w:hAnsi="Georgia" w:eastAsia="Georgia"/>
          <w:b/>
          <w:i w:val="0"/>
          <w:color w:val="2E5C4E"/>
          <w:sz w:val="25"/>
        </w:rPr>
        <w:t>Pollution</w:t>
      </w:r>
      <w:bookmarkEnd w:id="67"/>
    </w:p>
    <w:p>
      <w:r>
        <w:rPr>
          <w:b w:val="0"/>
          <w:i w:val="0"/>
        </w:rPr>
        <w:t>Arising from pollution — unless the pollution is sudden, accidental, unintended, and unexpected, and results directly from your business activity.</w:t>
      </w:r>
    </w:p>
    <w:p>
      <w:bookmarkStart w:id="68" w:name="c_pi_excl_trading_debts_and_business_los"/>
      <w:r>
        <w:rPr>
          <w:rFonts w:ascii="Georgia" w:hAnsi="Georgia" w:eastAsia="Georgia"/>
          <w:b/>
          <w:i w:val="0"/>
          <w:color w:val="2E5C4E"/>
          <w:sz w:val="25"/>
        </w:rPr>
        <w:t>Trading Debts and Business Losses</w:t>
      </w:r>
      <w:bookmarkEnd w:id="68"/>
    </w:p>
    <w:p>
      <w:r>
        <w:rPr>
          <w:b w:val="0"/>
          <w:i w:val="0"/>
        </w:rPr>
        <w:t>For: (a) fees, charges, or debts owed to you; (b) your lost profit, mark-up, or overheads; (c) any trading loss or loss of any client, contract, or business opportunity; or (d) your liability for GST or any other tax.</w:t>
      </w:r>
    </w:p>
    <w:p>
      <w:bookmarkStart w:id="69" w:name="c_pi_et_excl_fee_refunds"/>
      <w:r>
        <w:rPr>
          <w:rFonts w:ascii="Georgia" w:hAnsi="Georgia" w:eastAsia="Georgia"/>
          <w:b/>
          <w:i w:val="0"/>
          <w:color w:val="2E5C4E"/>
          <w:sz w:val="25"/>
        </w:rPr>
        <w:t>Fee Refunds</w:t>
      </w:r>
      <w:bookmarkEnd w:id="69"/>
    </w:p>
    <w:p>
      <w:r>
        <w:rPr>
          <w:b w:val="0"/>
          <w:i w:val="0"/>
        </w:rPr>
        <w:t>For the refund or re-crediting of tuition fees, student loan amounts or levies, including amounts payable under a tuition protection scheme, except to the extent that a court or tribunal orders them as compensation for your negligence.</w:t>
      </w:r>
    </w:p>
    <w:p>
      <w:bookmarkStart w:id="70" w:name="c_pi_et_excl_research"/>
      <w:r>
        <w:rPr>
          <w:rFonts w:ascii="Georgia" w:hAnsi="Georgia" w:eastAsia="Georgia"/>
          <w:b/>
          <w:i w:val="0"/>
          <w:color w:val="2E5C4E"/>
          <w:sz w:val="25"/>
        </w:rPr>
        <w:t>Research</w:t>
      </w:r>
      <w:bookmarkEnd w:id="70"/>
    </w:p>
    <w:p>
      <w:r>
        <w:rPr>
          <w:b w:val="0"/>
          <w:i w:val="0"/>
        </w:rPr>
        <w:t>Arising from research, clinical trials or product development, other than research carried out by students as part of their course.</w:t>
      </w:r>
    </w:p>
    <w:p>
      <w:bookmarkStart w:id="71" w:name="c_pi_excl_related_party_claims"/>
      <w:r>
        <w:rPr>
          <w:rFonts w:ascii="Georgia" w:hAnsi="Georgia" w:eastAsia="Georgia"/>
          <w:b/>
          <w:i w:val="0"/>
          <w:color w:val="2E5C4E"/>
          <w:sz w:val="25"/>
        </w:rPr>
        <w:t>Related Party Claims</w:t>
      </w:r>
      <w:bookmarkEnd w:id="71"/>
    </w:p>
    <w:p>
      <w:r>
        <w:rPr>
          <w:b w:val="0"/>
          <w:i w:val="0"/>
        </w:rPr>
        <w:t>For any claim brought by: (a) any entity that controls you, is controlled by you, or is under common control with you; (b) any person or entity holding a financial, executive, or managerial interest of 15% or more in you; or (c) any entity in which you hold such an interest. However: this exclusion does not apply to a claim based on your liability to an independent third party arising directly from the performance of your business activity for that third party.</w:t>
      </w:r>
    </w:p>
    <w:p>
      <w:bookmarkStart w:id="72" w:name="c_pi_excl_non_compensatory_payments"/>
      <w:r>
        <w:rPr>
          <w:rFonts w:ascii="Georgia" w:hAnsi="Georgia" w:eastAsia="Georgia"/>
          <w:b/>
          <w:i w:val="0"/>
          <w:color w:val="2E5C4E"/>
          <w:sz w:val="25"/>
        </w:rPr>
        <w:t>Non-Compensatory Payments</w:t>
      </w:r>
      <w:bookmarkEnd w:id="72"/>
    </w:p>
    <w:p>
      <w:r>
        <w:rPr>
          <w:b w:val="0"/>
          <w:i w:val="0"/>
        </w:rPr>
        <w:t xml:space="preserve">For fines, penalties, punitive damages, exemplary damages, aggravated damages, or multiple damages — except where cover for fines or penalties is specifically provided under </w:t>
      </w:r>
      <w:hyperlink w:anchor="c_pi_ext_statutory_liability">
        <w:r>
          <w:rPr>
            <w:color w:val="2E5C4E"/>
            <w:u w:val="single"/>
          </w:rPr>
          <w:t xml:space="preserve">the Statutory Liability extension</w:t>
        </w:r>
      </w:hyperlink>
      <w:r>
        <w:rPr>
          <w:b w:val="0"/>
          <w:i w:val="0"/>
        </w:rPr>
        <w:t>.</w:t>
      </w:r>
    </w:p>
    <w:p>
      <w:bookmarkStart w:id="73" w:name="c_pi_section_payment"/>
      <w:r>
        <w:rPr>
          <w:rFonts w:ascii="Georgia" w:hAnsi="Georgia" w:eastAsia="Georgia"/>
          <w:b/>
          <w:i w:val="0"/>
          <w:color w:val="1C1915"/>
          <w:sz w:val="32"/>
        </w:rPr>
        <w:t>How Much We Will Pay</w:t>
      </w:r>
      <w:bookmarkEnd w:id="73"/>
    </w:p>
    <w:p>
      <w:bookmarkStart w:id="74" w:name="c_pi_pay_limit_of_liability"/>
      <w:r>
        <w:rPr>
          <w:rFonts w:ascii="Georgia" w:hAnsi="Georgia" w:eastAsia="Georgia"/>
          <w:b/>
          <w:i w:val="0"/>
          <w:color w:val="2E5C4E"/>
          <w:sz w:val="25"/>
        </w:rPr>
        <w:t>Limit of Liability</w:t>
      </w:r>
      <w:bookmarkEnd w:id="74"/>
    </w:p>
    <w:p>
      <w:r>
        <w:rPr>
          <w:b w:val="0"/>
          <w:i w:val="0"/>
        </w:rPr>
        <w:t>The most we will pay for all claims and defence costs combined during the policy period is the limit of liability shown in your schedule. This is an aggregate limit — it applies to all claims combined, regardless of how many are made or how many insured persons are involved.</w:t>
      </w:r>
    </w:p>
    <w:p>
      <w:bookmarkStart w:id="75" w:name="c_pi_pay_automatic_reinstatement"/>
      <w:r>
        <w:rPr>
          <w:rFonts w:ascii="Georgia" w:hAnsi="Georgia" w:eastAsia="Georgia"/>
          <w:b/>
          <w:i w:val="0"/>
          <w:color w:val="2E5C4E"/>
          <w:sz w:val="25"/>
        </w:rPr>
        <w:t>Automatic Reinstatement</w:t>
      </w:r>
      <w:bookmarkEnd w:id="75"/>
    </w:p>
    <w:p>
      <w:r>
        <w:rPr>
          <w:b w:val="0"/>
          <w:i w:val="0"/>
        </w:rPr>
        <w:t xml:space="preserve">Despite </w:t>
      </w:r>
      <w:hyperlink w:anchor="c_pi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for any one claim, which remains the limit of liability.</w:t>
      </w:r>
    </w:p>
    <w:p>
      <w:r>
        <w:rPr>
          <w:b w:val="0"/>
          <w:i w:val="0"/>
        </w:rPr>
        <w:t>The most we will pay for all claims during the policy period is twice the limit of liability.</w:t>
      </w:r>
    </w:p>
    <w:p>
      <w:bookmarkStart w:id="76" w:name="c_pi_pay_sub_limits"/>
      <w:r>
        <w:rPr>
          <w:rFonts w:ascii="Georgia" w:hAnsi="Georgia" w:eastAsia="Georgia"/>
          <w:b/>
          <w:i w:val="0"/>
          <w:color w:val="2E5C4E"/>
          <w:sz w:val="25"/>
        </w:rPr>
        <w:t>Sub-Limits</w:t>
      </w:r>
      <w:bookmarkEnd w:id="76"/>
    </w:p>
    <w:p>
      <w:r>
        <w:rPr>
          <w:b w:val="0"/>
          <w:i w:val="0"/>
        </w:rPr>
        <w:t>Where a sub-limit is shown — in this wording or the schedule — it is the most we will pay for that type of cover. Sub-limits are included within — not in addition to — the limit of liability, unless the schedule states otherwise.</w:t>
      </w:r>
    </w:p>
    <w:p>
      <w:r>
        <w:rPr>
          <w:b w:val="0"/>
          <w:i w:val="0"/>
        </w:rPr>
        <w:t>Unless the schedule shows a different amount, the following default sub-limits apply for the policy period. If the limit of liability is lower than a default sub-limit, the limit of liability applies.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Default sub-limit</w:t>
            </w:r>
          </w:p>
        </w:tc>
      </w:tr>
      <w:tr>
        <w:tc>
          <w:tcPr>
            <w:tcW w:type="dxa" w:w="4873"/>
          </w:tcPr>
          <w:p>
            <w:r/>
            <w:hyperlink w:anchor="c_pi_cover_claims_against_you">
              <w:r>
                <w:rPr>
                  <w:color w:val="2E5C4E"/>
                  <w:u w:val="single"/>
                </w:rPr>
                <w:t xml:space="preserve">Claims Against You</w:t>
              </w:r>
            </w:hyperlink>
            <w:r>
              <w:rPr>
                <w:b w:val="0"/>
                <w:i w:val="0"/>
              </w:rPr>
              <w:t>: defence costs of a disciplinary complaint or proceeding</w:t>
            </w:r>
          </w:p>
        </w:tc>
        <w:tc>
          <w:tcPr>
            <w:tcW w:type="dxa" w:w="4873"/>
          </w:tcPr>
          <w:p>
            <w:r/>
            <w:r>
              <w:rPr>
                <w:b w:val="0"/>
                <w:i w:val="0"/>
              </w:rPr>
              <w:t>$100,000</w:t>
            </w:r>
          </w:p>
        </w:tc>
      </w:tr>
      <w:tr>
        <w:tc>
          <w:tcPr>
            <w:tcW w:type="dxa" w:w="4873"/>
          </w:tcPr>
          <w:p>
            <w:r/>
            <w:hyperlink w:anchor="c_pi_ext_statutory_liability">
              <w:r>
                <w:rPr>
                  <w:color w:val="2E5C4E"/>
                  <w:u w:val="single"/>
                </w:rPr>
                <w:t xml:space="preserve">Statutory Liability</w:t>
              </w:r>
            </w:hyperlink>
          </w:p>
        </w:tc>
        <w:tc>
          <w:tcPr>
            <w:tcW w:type="dxa" w:w="4873"/>
          </w:tcPr>
          <w:p>
            <w:r/>
            <w:r>
              <w:rPr>
                <w:b w:val="0"/>
                <w:i w:val="0"/>
              </w:rPr>
              <w:t>$250,000</w:t>
            </w:r>
          </w:p>
        </w:tc>
      </w:tr>
      <w:tr>
        <w:tc>
          <w:tcPr>
            <w:tcW w:type="dxa" w:w="4873"/>
          </w:tcPr>
          <w:p>
            <w:r/>
            <w:hyperlink w:anchor="c_pi_ext_first_party_dishonesty">
              <w:r>
                <w:rPr>
                  <w:color w:val="2E5C4E"/>
                  <w:u w:val="single"/>
                </w:rPr>
                <w:t xml:space="preserve">First-Party Dishonesty</w:t>
              </w:r>
            </w:hyperlink>
          </w:p>
        </w:tc>
        <w:tc>
          <w:tcPr>
            <w:tcW w:type="dxa" w:w="4873"/>
          </w:tcPr>
          <w:p>
            <w:r/>
            <w:r>
              <w:rPr>
                <w:b w:val="0"/>
                <w:i w:val="0"/>
              </w:rPr>
              <w:t>$250,000</w:t>
            </w:r>
          </w:p>
        </w:tc>
      </w:tr>
      <w:tr>
        <w:tc>
          <w:tcPr>
            <w:tcW w:type="dxa" w:w="4873"/>
          </w:tcPr>
          <w:p>
            <w:r/>
            <w:hyperlink w:anchor="c_pi_ext_public_relations_costs">
              <w:r>
                <w:rPr>
                  <w:color w:val="2E5C4E"/>
                  <w:u w:val="single"/>
                </w:rPr>
                <w:t xml:space="preserve">Public Relations Costs</w:t>
              </w:r>
            </w:hyperlink>
          </w:p>
        </w:tc>
        <w:tc>
          <w:tcPr>
            <w:tcW w:type="dxa" w:w="4873"/>
          </w:tcPr>
          <w:p>
            <w:r/>
            <w:r>
              <w:rPr>
                <w:b w:val="0"/>
                <w:i w:val="0"/>
              </w:rPr>
              <w:t>$50,000</w:t>
            </w:r>
          </w:p>
        </w:tc>
      </w:tr>
      <w:tr>
        <w:tc>
          <w:tcPr>
            <w:tcW w:type="dxa" w:w="4873"/>
          </w:tcPr>
          <w:p>
            <w:r/>
            <w:hyperlink w:anchor="c_pi_ext_court_attendance">
              <w:r>
                <w:rPr>
                  <w:color w:val="2E5C4E"/>
                  <w:u w:val="single"/>
                </w:rPr>
                <w:t xml:space="preserve">Court Attendance</w:t>
              </w:r>
            </w:hyperlink>
          </w:p>
        </w:tc>
        <w:tc>
          <w:tcPr>
            <w:tcW w:type="dxa" w:w="4873"/>
          </w:tcPr>
          <w:p>
            <w:r/>
            <w:r>
              <w:rPr>
                <w:b w:val="0"/>
                <w:i w:val="0"/>
              </w:rPr>
              <w:t>$25,000</w:t>
            </w:r>
          </w:p>
        </w:tc>
      </w:tr>
    </w:tbl>
    <w:p>
      <w:bookmarkStart w:id="77" w:name="c_pi_pay_defence_costs"/>
      <w:r>
        <w:rPr>
          <w:rFonts w:ascii="Georgia" w:hAnsi="Georgia" w:eastAsia="Georgia"/>
          <w:b/>
          <w:i w:val="0"/>
          <w:color w:val="2E5C4E"/>
          <w:sz w:val="25"/>
        </w:rPr>
        <w:t>Defence Costs</w:t>
      </w:r>
      <w:bookmarkEnd w:id="77"/>
    </w:p>
    <w:p>
      <w:r>
        <w:rPr>
          <w:b w:val="0"/>
          <w:i w:val="0"/>
        </w:rPr>
        <w:t xml:space="preserve">Defence costs are included within the limit of liability and reduce the amount available to pay compensation, unless the schedule states that defence costs are payable in addition to the limit. We will advance defence costs as they are incurred, without waiting for the final outcome of a claim. If a claim is later found not to be covered, you must repay any defence costs advanced for the uncovered portion, subject to </w:t>
      </w:r>
      <w:hyperlink w:anchor="c_pi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pi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pi_cond_insurance_contracts_act">
        <w:r>
          <w:rPr>
            <w:color w:val="2E5C4E"/>
            <w:u w:val="single"/>
          </w:rPr>
          <w:t xml:space="preserve">the Insurance Contracts Act 1984 (Cth) condition</w:t>
        </w:r>
      </w:hyperlink>
      <w:r>
        <w:rPr>
          <w:b w:val="0"/>
          <w:i w:val="0"/>
        </w:rPr>
        <w:t>.</w:t>
      </w:r>
    </w:p>
    <w:p>
      <w:bookmarkStart w:id="78" w:name="c_pi_pay_excess"/>
      <w:r>
        <w:rPr>
          <w:rFonts w:ascii="Georgia" w:hAnsi="Georgia" w:eastAsia="Georgia"/>
          <w:b/>
          <w:i w:val="0"/>
          <w:color w:val="2E5C4E"/>
          <w:sz w:val="25"/>
        </w:rPr>
        <w:t>Excess</w:t>
      </w:r>
      <w:bookmarkEnd w:id="78"/>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9" w:name="c_pi_pay_other_insurance"/>
      <w:r>
        <w:rPr>
          <w:rFonts w:ascii="Georgia" w:hAnsi="Georgia" w:eastAsia="Georgia"/>
          <w:b/>
          <w:i w:val="0"/>
          <w:color w:val="2E5C4E"/>
          <w:sz w:val="25"/>
        </w:rPr>
        <w:t>Other Insurance</w:t>
      </w:r>
      <w:bookmarkEnd w:id="79"/>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80" w:name="c_pi_pay_paying_out_the_limit"/>
      <w:r>
        <w:rPr>
          <w:rFonts w:ascii="Georgia" w:hAnsi="Georgia" w:eastAsia="Georgia"/>
          <w:b/>
          <w:i w:val="0"/>
          <w:color w:val="2E5C4E"/>
          <w:sz w:val="25"/>
        </w:rPr>
        <w:t>Paying Out the Limit</w:t>
      </w:r>
      <w:bookmarkEnd w:id="80"/>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81" w:name="c_pi_pay_allocation"/>
      <w:r>
        <w:rPr>
          <w:rFonts w:ascii="Georgia" w:hAnsi="Georgia" w:eastAsia="Georgia"/>
          <w:b/>
          <w:i w:val="0"/>
          <w:color w:val="2E5C4E"/>
          <w:sz w:val="25"/>
        </w:rPr>
        <w:t>Allocation</w:t>
      </w:r>
      <w:bookmarkEnd w:id="81"/>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pi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pi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pi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pi_pay_defence_costs">
        <w:r>
          <w:rPr>
            <w:color w:val="2E5C4E"/>
            <w:u w:val="single"/>
          </w:rPr>
          <w:t xml:space="preserve">the Defence Costs provision</w:t>
        </w:r>
      </w:hyperlink>
      <w:r>
        <w:rPr>
          <w:b w:val="0"/>
          <w:i w:val="0"/>
        </w:rPr>
        <w:t>.</w:t>
      </w:r>
    </w:p>
    <w:p>
      <w:bookmarkStart w:id="82" w:name="c_pi_section_obligations"/>
      <w:r>
        <w:rPr>
          <w:rFonts w:ascii="Georgia" w:hAnsi="Georgia" w:eastAsia="Georgia"/>
          <w:b/>
          <w:i w:val="0"/>
          <w:color w:val="1C1915"/>
          <w:sz w:val="32"/>
        </w:rPr>
        <w:t>Your Obligations</w:t>
      </w:r>
      <w:bookmarkEnd w:id="82"/>
    </w:p>
    <w:p>
      <w:r>
        <w:rPr>
          <w:b w:val="0"/>
          <w:i w:val="0"/>
        </w:rPr>
        <w:t xml:space="preserve">These obligations apply subject to </w:t>
      </w:r>
      <w:hyperlink w:anchor="c_pi_cond_insurance_contracts_act">
        <w:r>
          <w:rPr>
            <w:color w:val="2E5C4E"/>
            <w:u w:val="single"/>
          </w:rPr>
          <w:t xml:space="preserve">the Insurance Contracts Act 1984 (Cth) condition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83" w:name="c_pi_obl_tell_us_about_claims"/>
      <w:r>
        <w:rPr>
          <w:rFonts w:ascii="Georgia" w:hAnsi="Georgia" w:eastAsia="Georgia"/>
          <w:b/>
          <w:i w:val="0"/>
          <w:color w:val="2E5C4E"/>
          <w:sz w:val="25"/>
        </w:rPr>
        <w:t>Tell Us About Claims</w:t>
      </w:r>
      <w:bookmarkEnd w:id="83"/>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4" w:name="c_pi_obl_tell_us_about_circumstances"/>
      <w:r>
        <w:rPr>
          <w:rFonts w:ascii="Georgia" w:hAnsi="Georgia" w:eastAsia="Georgia"/>
          <w:b/>
          <w:i w:val="0"/>
          <w:color w:val="2E5C4E"/>
          <w:sz w:val="25"/>
        </w:rPr>
        <w:t>Tell Us About Circumstances</w:t>
      </w:r>
      <w:bookmarkEnd w:id="84"/>
    </w:p>
    <w:p>
      <w:r>
        <w:rPr>
          <w:b w:val="0"/>
          <w:i w:val="0"/>
        </w:rPr>
        <w:t xml:space="preserve">Tell us during the policy period about any fact, matter, or circumstance you first become aware of that might give rise to a claim. This protects you — see </w:t>
      </w:r>
      <w:hyperlink w:anchor="c_pi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5" w:name="c_pi_obl_do_not_admit_liability"/>
      <w:r>
        <w:rPr>
          <w:rFonts w:ascii="Georgia" w:hAnsi="Georgia" w:eastAsia="Georgia"/>
          <w:b/>
          <w:i w:val="0"/>
          <w:color w:val="2E5C4E"/>
          <w:sz w:val="25"/>
        </w:rPr>
        <w:t>Do Not Admit Liability</w:t>
      </w:r>
      <w:bookmarkEnd w:id="85"/>
    </w:p>
    <w:p>
      <w:r>
        <w:rPr>
          <w:b w:val="0"/>
          <w:i w:val="0"/>
        </w:rPr>
        <w:t>Do not admit liability, make any offer or promise to pay, or agree to settle any claim without our written consent. We will not unreasonably withhold or delay consent.</w:t>
      </w:r>
    </w:p>
    <w:p>
      <w:bookmarkStart w:id="86" w:name="c_pi_obl_cooperate_with_us"/>
      <w:r>
        <w:rPr>
          <w:rFonts w:ascii="Georgia" w:hAnsi="Georgia" w:eastAsia="Georgia"/>
          <w:b/>
          <w:i w:val="0"/>
          <w:color w:val="2E5C4E"/>
          <w:sz w:val="25"/>
        </w:rPr>
        <w:t>Cooperate With Us</w:t>
      </w:r>
      <w:bookmarkEnd w:id="86"/>
    </w:p>
    <w:p>
      <w:r>
        <w:rPr>
          <w:b w:val="0"/>
          <w:i w:val="0"/>
        </w:rPr>
        <w:t>Give us all information, documents, and assistance we reasonably need to handle the claim. Attend any meetings, examinations, or proceedings we reasonably require.</w:t>
      </w:r>
    </w:p>
    <w:p>
      <w:bookmarkStart w:id="87" w:name="c_pi_obl_mitigate_your_loss"/>
      <w:r>
        <w:rPr>
          <w:rFonts w:ascii="Georgia" w:hAnsi="Georgia" w:eastAsia="Georgia"/>
          <w:b/>
          <w:i w:val="0"/>
          <w:color w:val="2E5C4E"/>
          <w:sz w:val="25"/>
        </w:rPr>
        <w:t>Mitigate Your Loss</w:t>
      </w:r>
      <w:bookmarkEnd w:id="87"/>
    </w:p>
    <w:p>
      <w:r>
        <w:rPr>
          <w:b w:val="0"/>
          <w:i w:val="0"/>
        </w:rPr>
        <w:t>Take all reasonable steps to prevent or reduce any loss that might be covered by this policy.</w:t>
      </w:r>
    </w:p>
    <w:p>
      <w:bookmarkStart w:id="88" w:name="c_pi_obl_preserve_our_recovery_rights"/>
      <w:r>
        <w:rPr>
          <w:rFonts w:ascii="Georgia" w:hAnsi="Georgia" w:eastAsia="Georgia"/>
          <w:b/>
          <w:i w:val="0"/>
          <w:color w:val="2E5C4E"/>
          <w:sz w:val="25"/>
        </w:rPr>
        <w:t>Preserve Our Recovery Rights</w:t>
      </w:r>
      <w:bookmarkEnd w:id="88"/>
    </w:p>
    <w:p>
      <w:r>
        <w:rPr>
          <w:b w:val="0"/>
          <w:i w:val="0"/>
        </w:rPr>
        <w:t>Do not do anything after a claim is made that might prejudice our right to recover from any third party. If we pay a claim, we may take action in your name to recover what we have paid.</w:t>
      </w:r>
    </w:p>
    <w:p>
      <w:bookmarkStart w:id="89" w:name="c_pi_obl_tell_us_about_other_insurance"/>
      <w:r>
        <w:rPr>
          <w:rFonts w:ascii="Georgia" w:hAnsi="Georgia" w:eastAsia="Georgia"/>
          <w:b/>
          <w:i w:val="0"/>
          <w:color w:val="2E5C4E"/>
          <w:sz w:val="25"/>
        </w:rPr>
        <w:t>Tell Us About Other Insurance</w:t>
      </w:r>
      <w:bookmarkEnd w:id="89"/>
    </w:p>
    <w:p>
      <w:r>
        <w:rPr>
          <w:b w:val="0"/>
          <w:i w:val="0"/>
        </w:rPr>
        <w:t>Tell us about any other insurance that might cover the same loss.</w:t>
      </w:r>
    </w:p>
    <w:p>
      <w:bookmarkStart w:id="90" w:name="c_pi_obl_tell_us_about_changes"/>
      <w:r>
        <w:rPr>
          <w:rFonts w:ascii="Georgia" w:hAnsi="Georgia" w:eastAsia="Georgia"/>
          <w:b/>
          <w:i w:val="0"/>
          <w:color w:val="2E5C4E"/>
          <w:sz w:val="25"/>
        </w:rPr>
        <w:t>Tell Us About Changes</w:t>
      </w:r>
      <w:bookmarkEnd w:id="90"/>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pi_cond_insurance_contracts_act">
        <w:r>
          <w:rPr>
            <w:color w:val="2E5C4E"/>
            <w:u w:val="single"/>
          </w:rPr>
          <w:t xml:space="preserve">the Insurance Contracts Act 1984 (Cth) condition</w:t>
        </w:r>
      </w:hyperlink>
      <w:r>
        <w:rPr>
          <w:b w:val="0"/>
          <w:i w:val="0"/>
        </w:rPr>
        <w:t>.</w:t>
      </w:r>
    </w:p>
    <w:p>
      <w:bookmarkStart w:id="91" w:name="c_pi_obl_individual_treatment_of_insured"/>
      <w:r>
        <w:rPr>
          <w:rFonts w:ascii="Georgia" w:hAnsi="Georgia" w:eastAsia="Georgia"/>
          <w:b/>
          <w:i w:val="0"/>
          <w:color w:val="2E5C4E"/>
          <w:sz w:val="25"/>
        </w:rPr>
        <w:t>Individual Treatment of Insured Persons</w:t>
      </w:r>
      <w:bookmarkEnd w:id="91"/>
    </w:p>
    <w:p>
      <w:r>
        <w:rPr>
          <w:b w:val="0"/>
          <w:i w:val="0"/>
        </w:rPr>
        <w:t xml:space="preserve">Each insured person's cover is assessed individually. A failure by one insured person to comply with </w:t>
      </w:r>
      <w:hyperlink w:anchor="c_pi_obl_tell_us_about_claims">
        <w:r>
          <w:rPr>
            <w:color w:val="2E5C4E"/>
            <w:u w:val="single"/>
          </w:rPr>
          <w:t xml:space="preserve">the Tell Us About Claims obligation</w:t>
        </w:r>
      </w:hyperlink>
      <w:r>
        <w:rPr>
          <w:b w:val="0"/>
          <w:i w:val="0"/>
        </w:rPr>
        <w:t xml:space="preserve">, </w:t>
      </w:r>
      <w:hyperlink w:anchor="c_pi_obl_tell_us_about_circumstances">
        <w:r>
          <w:rPr>
            <w:color w:val="2E5C4E"/>
            <w:u w:val="single"/>
          </w:rPr>
          <w:t xml:space="preserve">the Tell Us About Circumstances obligation</w:t>
        </w:r>
      </w:hyperlink>
      <w:r>
        <w:rPr>
          <w:b w:val="0"/>
          <w:i w:val="0"/>
        </w:rPr>
        <w:t xml:space="preserve">, </w:t>
      </w:r>
      <w:hyperlink w:anchor="c_pi_obl_do_not_admit_liability">
        <w:r>
          <w:rPr>
            <w:color w:val="2E5C4E"/>
            <w:u w:val="single"/>
          </w:rPr>
          <w:t xml:space="preserve">the Do Not Admit Liability obligation</w:t>
        </w:r>
      </w:hyperlink>
      <w:r>
        <w:rPr>
          <w:b w:val="0"/>
          <w:i w:val="0"/>
        </w:rPr>
        <w:t xml:space="preserve">, </w:t>
      </w:r>
      <w:hyperlink w:anchor="c_pi_obl_cooperate_with_us">
        <w:r>
          <w:rPr>
            <w:color w:val="2E5C4E"/>
            <w:u w:val="single"/>
          </w:rPr>
          <w:t xml:space="preserve">the Cooperate With Us obligation</w:t>
        </w:r>
      </w:hyperlink>
      <w:r>
        <w:rPr>
          <w:b w:val="0"/>
          <w:i w:val="0"/>
        </w:rPr>
        <w:t xml:space="preserve">, </w:t>
      </w:r>
      <w:hyperlink w:anchor="c_pi_obl_mitigate_your_loss">
        <w:r>
          <w:rPr>
            <w:color w:val="2E5C4E"/>
            <w:u w:val="single"/>
          </w:rPr>
          <w:t xml:space="preserve">the Mitigate Your Loss obligation</w:t>
        </w:r>
      </w:hyperlink>
      <w:r>
        <w:rPr>
          <w:b w:val="0"/>
          <w:i w:val="0"/>
        </w:rPr>
        <w:t xml:space="preserve"> or </w:t>
      </w:r>
      <w:hyperlink w:anchor="c_pi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who did not know of, participate in, or contribute to that failure, knowledge, act, error, omission, or non-disclosure. This section does not affect </w:t>
      </w:r>
      <w:hyperlink w:anchor="c_pi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92" w:name="c_pi_section_conditions"/>
      <w:r>
        <w:rPr>
          <w:rFonts w:ascii="Georgia" w:hAnsi="Georgia" w:eastAsia="Georgia"/>
          <w:b/>
          <w:i w:val="0"/>
          <w:color w:val="1C1915"/>
          <w:sz w:val="32"/>
        </w:rPr>
        <w:t>General Conditions</w:t>
      </w:r>
      <w:bookmarkEnd w:id="92"/>
    </w:p>
    <w:p>
      <w:bookmarkStart w:id="93" w:name="c_pi_cond_insurance_contracts_act"/>
      <w:r>
        <w:rPr>
          <w:rFonts w:ascii="Georgia" w:hAnsi="Georgia" w:eastAsia="Georgia"/>
          <w:b/>
          <w:i w:val="0"/>
          <w:color w:val="2E5C4E"/>
          <w:sz w:val="25"/>
        </w:rPr>
        <w:t>Insurance Contracts Act 1984 (Cth)</w:t>
      </w:r>
      <w:bookmarkEnd w:id="93"/>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4" w:name="c_pi_cond_your_duty_of_disclosure"/>
      <w:r>
        <w:rPr>
          <w:rFonts w:ascii="Georgia" w:hAnsi="Georgia" w:eastAsia="Georgia"/>
          <w:b/>
          <w:i w:val="0"/>
          <w:color w:val="2E5C4E"/>
          <w:sz w:val="25"/>
        </w:rPr>
        <w:t>Your Duty of Disclosure</w:t>
      </w:r>
      <w:bookmarkEnd w:id="94"/>
    </w:p>
    <w:p>
      <w:r>
        <w:rPr>
          <w:b w:val="0"/>
          <w:i w:val="0"/>
        </w:rPr>
        <w:t xml:space="preserve">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 What the company knows is what a member of the </w:t>
      </w:r>
      <w:r>
        <w:rPr>
          <w:b/>
          <w:i w:val="0"/>
        </w:rPr>
        <w:t>control group</w:t>
      </w:r>
      <w:r>
        <w:rPr>
          <w:b w:val="0"/>
          <w:i w:val="0"/>
        </w:rPr>
        <w:t xml:space="preserve"> knows.</w:t>
      </w:r>
    </w:p>
    <w:p>
      <w:r>
        <w:rPr>
          <w:b w:val="0"/>
          <w:i w:val="0"/>
        </w:rPr>
        <w:t>[WP REVIEW: confirm that treating the company's knowledge as the knowledge of its control group is consistent with the duty of disclosure under the Insurance Contracts Act 1984 (Cth).]</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pi_excl_deliberate_and_dishonest_acts">
        <w:r>
          <w:rPr>
            <w:color w:val="2E5C4E"/>
            <w:u w:val="single"/>
          </w:rPr>
          <w:t xml:space="preserve">the Deliberate and Dishonest Acts exclusion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95" w:name="c_pi_cond_licences_registrations_and_acc"/>
      <w:r>
        <w:rPr>
          <w:rFonts w:ascii="Georgia" w:hAnsi="Georgia" w:eastAsia="Georgia"/>
          <w:b/>
          <w:i w:val="0"/>
          <w:color w:val="2E5C4E"/>
          <w:sz w:val="25"/>
        </w:rPr>
        <w:t>Licences, Registrations and Accreditations</w:t>
      </w:r>
      <w:bookmarkEnd w:id="95"/>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This condition looks at whether the licence, registration, accreditation or endorsement was held when the service was provided. If it lapses or is cancelled later, cover for a service already provided is not affected.</w:t>
      </w:r>
    </w:p>
    <w:p>
      <w:r>
        <w:rPr>
          <w:b w:val="0"/>
          <w:i w:val="0"/>
        </w:rPr>
        <w:t>[WP REVIEW: confirm that this status condition is not a warranty within the Insurance Contracts Act 1984 (Cth), and that it operates as intended with the savings for acts after the contract was entered into.]</w:t>
      </w:r>
    </w:p>
    <w:p>
      <w:bookmarkStart w:id="96" w:name="c_pi_cond_compulsory_insurance_requireme"/>
      <w:r>
        <w:rPr>
          <w:rFonts w:ascii="Georgia" w:hAnsi="Georgia" w:eastAsia="Georgia"/>
          <w:b/>
          <w:i w:val="0"/>
          <w:color w:val="2E5C4E"/>
          <w:sz w:val="25"/>
        </w:rPr>
        <w:t>Compulsory Insurance Requirements</w:t>
      </w:r>
      <w:bookmarkEnd w:id="96"/>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 The schedule lists any compulsory insurance requirement that we know applies to you. A requirement that is not listed in the schedule still applies if the law makes it apply to you.</w:t>
      </w:r>
    </w:p>
    <w:p>
      <w:r>
        <w:rPr>
          <w:b w:val="0"/>
          <w:i w:val="0"/>
        </w:rPr>
        <w:t>For a claim to which a compulsory insurance requirement applies, a term of this policy applies only to the extent that the requirement permits it. This includes the retroactive date, an exclusion, a sub-limit, the excess, reinstatement and run-off. Where a term is not permitted, this policy is read as providing the cover, excess terms, reinstatement and run-off that the requirement prescribes, and we will pay what the requirement obliges an insurer to pay. If the requirement prescribes a minimum limit that is higher than the limit of liability shown in the schedule, this condition does not increase the limit of liability: you are responsible for choosing a limit at least equal to the minimum.</w:t>
      </w:r>
    </w:p>
    <w:p>
      <w:r>
        <w:rPr>
          <w:b w:val="0"/>
          <w:i w:val="0"/>
        </w:rPr>
        <w:t xml:space="preserve">We pay an amount under this condition to the person the requirement says is entitled to it. That is you, unless the requirement gives the claimant a right to be paid directly, in which case it is the claimant. An amount we pay under this condition reduces the limit of liability in the same way as any other payment, and </w:t>
      </w:r>
      <w:hyperlink w:anchor="c_pi_pay_automatic_reinstatement">
        <w:r>
          <w:rPr>
            <w:color w:val="2E5C4E"/>
            <w:u w:val="single"/>
          </w:rPr>
          <w:t xml:space="preserve">the Automatic Reinstatement provision</w:t>
        </w:r>
      </w:hyperlink>
      <w:r>
        <w:rPr>
          <w:b w:val="0"/>
          <w:i w:val="0"/>
        </w:rPr>
        <w:t xml:space="preserve"> applies to it.</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for each compulsory insurance requirement whether the insurer may recover from the insured, whether the requirement lets a claimant claim directly, whether the retroactive date and exclusions can be read down in this way, and whether leaving the limit of liability unchanged is acceptable.]</w:t>
      </w:r>
    </w:p>
    <w:p>
      <w:bookmarkStart w:id="97" w:name="c_pi_cond_professional_standards_schemes"/>
      <w:r>
        <w:rPr>
          <w:rFonts w:ascii="Georgia" w:hAnsi="Georgia" w:eastAsia="Georgia"/>
          <w:b/>
          <w:i w:val="0"/>
          <w:color w:val="2E5C4E"/>
          <w:sz w:val="25"/>
        </w:rPr>
        <w:t>Professional Standards Schemes</w:t>
      </w:r>
      <w:bookmarkEnd w:id="97"/>
    </w:p>
    <w:p>
      <w:r>
        <w:rPr>
          <w:b w:val="0"/>
          <w:i w:val="0"/>
        </w:rPr>
        <w:t>If you are a member of a scheme approved under professional standards legislation in a state or territory of Australia, and the scheme limits your occupational liability, this policy is intended to meet the insurance standard that the scheme sets for its members.</w:t>
      </w:r>
    </w:p>
    <w:p>
      <w:r>
        <w:rPr>
          <w:b w:val="0"/>
          <w:i w:val="0"/>
        </w:rPr>
        <w:t>For a claim to which the scheme applies, if a term of this policy is inconsistent with that insurance standard, the standard applies to the extent of the inconsistency.</w:t>
      </w:r>
    </w:p>
    <w:p>
      <w:r>
        <w:rPr>
          <w:b w:val="0"/>
          <w:i w:val="0"/>
        </w:rPr>
        <w:t>This condition does not increase the limit of liability. You are responsible for choosing a limit of liability that is at least the amount the scheme requires.</w:t>
      </w:r>
    </w:p>
    <w:p>
      <w:r>
        <w:rPr>
          <w:b w:val="0"/>
          <w:i w:val="0"/>
        </w:rPr>
        <w:t>[WP REVIEW: confirm which approved schemes apply to each profession, their insurance standards and caps, and whether an insured who chooses a lower limit loses the benefit of the scheme's cap.]</w:t>
      </w:r>
    </w:p>
    <w:p>
      <w:bookmarkStart w:id="98" w:name="c_pi_cond_sanctions"/>
      <w:r>
        <w:rPr>
          <w:rFonts w:ascii="Georgia" w:hAnsi="Georgia" w:eastAsia="Georgia"/>
          <w:b/>
          <w:i w:val="0"/>
          <w:color w:val="2E5C4E"/>
          <w:sz w:val="25"/>
        </w:rPr>
        <w:t>Sanctions</w:t>
      </w:r>
      <w:bookmarkEnd w:id="98"/>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9" w:name="c_pi_cond_corporations_act_ss_199a_199b"/>
      <w:r>
        <w:rPr>
          <w:rFonts w:ascii="Georgia" w:hAnsi="Georgia" w:eastAsia="Georgia"/>
          <w:b/>
          <w:i w:val="0"/>
          <w:color w:val="2E5C4E"/>
          <w:sz w:val="25"/>
        </w:rPr>
        <w:t>Corporations Act 2001 (Cth), sections 199A and 199B</w:t>
      </w:r>
      <w:bookmarkEnd w:id="99"/>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100" w:name="c_pi_cond_cancellation"/>
      <w:r>
        <w:rPr>
          <w:rFonts w:ascii="Georgia" w:hAnsi="Georgia" w:eastAsia="Georgia"/>
          <w:b/>
          <w:i w:val="0"/>
          <w:color w:val="2E5C4E"/>
          <w:sz w:val="25"/>
        </w:rPr>
        <w:t>Cancellation</w:t>
      </w:r>
      <w:bookmarkEnd w:id="100"/>
    </w:p>
    <w:p>
      <w:r>
        <w:rPr>
          <w:b w:val="0"/>
          <w:i w:val="0"/>
        </w:rPr>
        <w:t>You may cancel this policy at any time by telling us. We refund the premium for the unexpired period of insurance on a pro-rata basis, less any non-refundable government charges.</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your rights for any claim or circumstance that you notified to us before the cancellation took effect.</w:t>
      </w:r>
    </w:p>
    <w:p>
      <w:bookmarkStart w:id="101" w:name="c_pi_cond_governing_law"/>
      <w:r>
        <w:rPr>
          <w:rFonts w:ascii="Georgia" w:hAnsi="Georgia" w:eastAsia="Georgia"/>
          <w:b/>
          <w:i w:val="0"/>
          <w:color w:val="2E5C4E"/>
          <w:sz w:val="25"/>
        </w:rPr>
        <w:t>Governing Law</w:t>
      </w:r>
      <w:bookmarkEnd w:id="101"/>
    </w:p>
    <w:p>
      <w:r>
        <w:rPr>
          <w:b w:val="0"/>
          <w:i w:val="0"/>
        </w:rPr>
        <w:t>This policy is governed by the laws of the State or Territory of Australia shown in the schedule as the governing law at the start of the policy period. If the schedule shows none, it is governed by the laws of the State or Territory in which the named insured has its principal place of business at the start of the policy period.</w:t>
      </w:r>
    </w:p>
    <w:p>
      <w:bookmarkStart w:id="102" w:name="c_pi_cond_jurisdiction"/>
      <w:r>
        <w:rPr>
          <w:rFonts w:ascii="Georgia" w:hAnsi="Georgia" w:eastAsia="Georgia"/>
          <w:b/>
          <w:i w:val="0"/>
          <w:color w:val="2E5C4E"/>
          <w:sz w:val="25"/>
        </w:rPr>
        <w:t>Jurisdiction</w:t>
      </w:r>
      <w:bookmarkEnd w:id="102"/>
    </w:p>
    <w:p>
      <w:r>
        <w:rPr>
          <w:b w:val="0"/>
          <w:i w:val="0"/>
        </w:rPr>
        <w:t xml:space="preserve">You and we submit to the non-exclusive jurisdiction of the courts of the State or Territory whose law governs this policy under </w:t>
      </w:r>
      <w:hyperlink w:anchor="c_pi_cond_governing_law">
        <w:r>
          <w:rPr>
            <w:color w:val="2E5C4E"/>
            <w:u w:val="single"/>
          </w:rPr>
          <w:t xml:space="preserve">the Governing Law condition</w:t>
        </w:r>
      </w:hyperlink>
      <w:r>
        <w:rPr>
          <w:b w:val="0"/>
          <w:i w:val="0"/>
        </w:rPr>
        <w:t>, and the courts that hear appeals from those courts.</w:t>
      </w:r>
    </w:p>
    <w:p>
      <w:bookmarkStart w:id="103" w:name="c_pi_cond_gst"/>
      <w:r>
        <w:rPr>
          <w:rFonts w:ascii="Georgia" w:hAnsi="Georgia" w:eastAsia="Georgia"/>
          <w:b/>
          <w:i w:val="0"/>
          <w:color w:val="2E5C4E"/>
          <w:sz w:val="25"/>
        </w:rPr>
        <w:t>GST</w:t>
      </w:r>
      <w:bookmarkEnd w:id="103"/>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4" w:name="c_pi_cond_several_liability"/>
      <w:r>
        <w:rPr>
          <w:rFonts w:ascii="Georgia" w:hAnsi="Georgia" w:eastAsia="Georgia"/>
          <w:b/>
          <w:i w:val="0"/>
          <w:color w:val="2E5C4E"/>
          <w:sz w:val="25"/>
        </w:rPr>
        <w:t>Several Liability</w:t>
      </w:r>
      <w:bookmarkEnd w:id="104"/>
    </w:p>
    <w:p>
      <w:r>
        <w:rPr>
          <w:b w:val="0"/>
          <w:i w:val="0"/>
        </w:rPr>
        <w:t>If more than one insurer is shown in the schedule, each is responsible only for its own share. One insurer's share is not increased by the failure of another to pay.</w:t>
      </w:r>
    </w:p>
    <w:p>
      <w:bookmarkStart w:id="105" w:name="c_pi_cond_assignment"/>
      <w:r>
        <w:rPr>
          <w:rFonts w:ascii="Georgia" w:hAnsi="Georgia" w:eastAsia="Georgia"/>
          <w:b/>
          <w:i w:val="0"/>
          <w:color w:val="2E5C4E"/>
          <w:sz w:val="25"/>
        </w:rPr>
        <w:t>Assignment</w:t>
      </w:r>
      <w:bookmarkEnd w:id="105"/>
    </w:p>
    <w:p>
      <w:r>
        <w:rPr>
          <w:b w:val="0"/>
          <w:i w:val="0"/>
        </w:rPr>
        <w:t>You cannot transfer this policy to another person or entity without our prior written consent.</w:t>
      </w:r>
    </w:p>
    <w:p>
      <w:bookmarkStart w:id="106" w:name="c_pi_cond_entire_agreement"/>
      <w:r>
        <w:rPr>
          <w:rFonts w:ascii="Georgia" w:hAnsi="Georgia" w:eastAsia="Georgia"/>
          <w:b/>
          <w:i w:val="0"/>
          <w:color w:val="2E5C4E"/>
          <w:sz w:val="25"/>
        </w:rPr>
        <w:t>Entire Agreement</w:t>
      </w:r>
      <w:bookmarkEnd w:id="106"/>
    </w:p>
    <w:p>
      <w:r>
        <w:rPr>
          <w:b w:val="0"/>
          <w:i w:val="0"/>
        </w:rPr>
        <w:t>This policy, the schedule, and any endorsements form the entire agreement between you and us about this insurance. No one has authority to change this policy unless the change is recorded in an endorsement.</w:t>
      </w:r>
    </w:p>
    <w:p>
      <w:bookmarkStart w:id="107" w:name="c_pi_cond_disputes_and_complaints"/>
      <w:r>
        <w:rPr>
          <w:rFonts w:ascii="Georgia" w:hAnsi="Georgia" w:eastAsia="Georgia"/>
          <w:b/>
          <w:i w:val="0"/>
          <w:color w:val="2E5C4E"/>
          <w:sz w:val="25"/>
        </w:rPr>
        <w:t>Disputes and Complaints</w:t>
      </w:r>
      <w:bookmarkEnd w:id="107"/>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8" w:name="c_pi_cond_privacy"/>
      <w:r>
        <w:rPr>
          <w:rFonts w:ascii="Georgia" w:hAnsi="Georgia" w:eastAsia="Georgia"/>
          <w:b/>
          <w:i w:val="0"/>
          <w:color w:val="2E5C4E"/>
          <w:sz w:val="25"/>
        </w:rPr>
        <w:t>Privacy</w:t>
      </w:r>
      <w:bookmarkEnd w:id="108"/>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9" w:name="c_pi_cond_headings_and_references"/>
      <w:r>
        <w:rPr>
          <w:rFonts w:ascii="Georgia" w:hAnsi="Georgia" w:eastAsia="Georgia"/>
          <w:b/>
          <w:i w:val="0"/>
          <w:color w:val="2E5C4E"/>
          <w:sz w:val="25"/>
        </w:rPr>
        <w:t>Headings and References</w:t>
      </w:r>
      <w:bookmarkEnd w:id="109"/>
    </w:p>
    <w:p>
      <w:r>
        <w:rPr>
          <w:b w:val="0"/>
          <w:i w:val="0"/>
        </w:rPr>
        <w:t>Clauses in this policy are identified by their headings, not by numbers. A reference in this policy, the schedule, or an endorsement to a clause by its heading (for example, "the Financial Services exclusion") is a reference to the clause with that heading in the version of this policy that applies to you.</w:t>
      </w:r>
    </w:p>
    <w:p>
      <w:r>
        <w:rPr>
          <w:b w:val="0"/>
          <w:i w:val="0"/>
        </w:rPr>
        <w:t>Headings do not otherwise limit or extend the meaning of the clause they introduce.</w:t>
      </w:r>
    </w:p>
    <w:p>
      <w:bookmarkStart w:id="110" w:name="c_pi_claims_how_to_make_a_claim"/>
      <w:r>
        <w:rPr>
          <w:rFonts w:ascii="Georgia" w:hAnsi="Georgia" w:eastAsia="Georgia"/>
          <w:b/>
          <w:i w:val="0"/>
          <w:color w:val="1C1915"/>
          <w:sz w:val="32"/>
        </w:rPr>
        <w:t>How to Make a Claim</w:t>
      </w:r>
      <w:bookmarkEnd w:id="110"/>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pi_obl_tell_us_about_claims">
        <w:r>
          <w:rPr>
            <w:color w:val="2E5C4E"/>
            <w:u w:val="single"/>
          </w:rPr>
          <w:t xml:space="preserve">the Tell Us About Claims obligation</w:t>
        </w:r>
      </w:hyperlink>
      <w:r>
        <w:rPr>
          <w:b w:val="0"/>
          <w:i w:val="0"/>
        </w:rPr>
        <w:t xml:space="preserve"> and </w:t>
      </w:r>
      <w:hyperlink w:anchor="c_pi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pi_obl_do_not_admit_liability">
        <w:r>
          <w:rPr>
            <w:color w:val="2E5C4E"/>
            <w:u w:val="single"/>
          </w:rPr>
          <w:t xml:space="preserve">the Do Not Admit Liability obligation</w:t>
        </w:r>
      </w:hyperlink>
      <w:r>
        <w:rPr>
          <w:b w:val="0"/>
          <w:i w:val="0"/>
        </w:rPr>
        <w:t>.</w:t>
      </w:r>
    </w:p>
    <w:p>
      <w:bookmarkStart w:id="111" w:name="c_pi_endorsement_library"/>
      <w:r>
        <w:rPr>
          <w:rFonts w:ascii="Georgia" w:hAnsi="Georgia" w:eastAsia="Georgia"/>
          <w:b/>
          <w:i w:val="0"/>
          <w:color w:val="1C1915"/>
          <w:sz w:val="32"/>
        </w:rPr>
        <w:t>Endorsement Library</w:t>
      </w:r>
      <w:bookmarkEnd w:id="111"/>
    </w:p>
    <w:p>
      <w:r>
        <w:rPr>
          <w:b w:val="0"/>
          <w:i w:val="0"/>
        </w:rPr>
        <w:t>The following endorsement is available and may be attached to this policy as shown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 xml:space="preserve">Run-off extension — quotation-basis extension of run-off cover, for a period requested by you of up to 84 months after the end of the policy period following permanent cessation of practice, offered at our discretion (see </w:t>
            </w:r>
            <w:hyperlink w:anchor="c_pi_ext_run_off_cover">
              <w:r>
                <w:rPr>
                  <w:color w:val="2E5C4E"/>
                  <w:u w:val="single"/>
                </w:rPr>
                <w:t xml:space="preserve">the Run-Off Cover extension</w:t>
              </w:r>
            </w:hyperlink>
            <w:r>
              <w:rPr>
                <w:b w:val="0"/>
                <w:i w:val="0"/>
              </w:rPr>
              <w:t>); premium and terms as shown in the schedule or endorsement schedule if offered and accepted</w:t>
            </w:r>
          </w:p>
        </w:tc>
      </w:tr>
    </w:tbl>
    <w:p>
      <w:r>
        <w:rPr>
          <w:b w:val="0"/>
          <w:i w:val="0"/>
        </w:rPr>
        <w:t>Endorsements E02 (defence costs in addition to the limit of liability), E04 (contractual liability buy-back), E05 (pollution liability buy-back), E06 (United States and Canada jurisdiction extension), E07 (increased sub-limits), E08 (additional reinstatements) and E10 (excess layer) are not yet available in this version.</w:t>
      </w:r>
    </w:p>
    <w:p>
      <w:r>
        <w:rPr>
          <w:b w:val="0"/>
          <w:i w:val="0"/>
        </w:rPr>
        <w:t>Wordings for particular professions are published separately. Each sets out its own endorsements.</w:t>
      </w:r>
    </w:p>
    <w:p>
      <w:bookmarkStart w:id="112" w:name="c_pi_et_library_optional_endorsements"/>
      <w:r>
        <w:rPr>
          <w:rFonts w:ascii="Georgia" w:hAnsi="Georgia" w:eastAsia="Georgia"/>
          <w:b/>
          <w:i w:val="0"/>
          <w:color w:val="1C1915"/>
          <w:sz w:val="32"/>
        </w:rPr>
        <w:t>Education and Training Endorsements</w:t>
      </w:r>
      <w:bookmarkEnd w:id="112"/>
    </w:p>
    <w:p>
      <w:r>
        <w:rPr>
          <w:b w:val="0"/>
          <w:i w:val="0"/>
        </w:rPr>
        <w:t>The following endorsements apply to this policy only when the schedule shows that they apply.</w:t>
      </w:r>
    </w:p>
    <w:p>
      <w:bookmarkStart w:id="113" w:name="c_pi_et_end_third_party_delivery"/>
      <w:r>
        <w:rPr>
          <w:rFonts w:ascii="Georgia" w:hAnsi="Georgia" w:eastAsia="Georgia"/>
          <w:b/>
          <w:i w:val="0"/>
          <w:color w:val="2E5C4E"/>
          <w:sz w:val="25"/>
        </w:rPr>
        <w:t>Third-Party Delivery Exclusion</w:t>
      </w:r>
      <w:bookmarkEnd w:id="113"/>
    </w:p>
    <w:p>
      <w:r>
        <w:rPr>
          <w:b w:val="0"/>
          <w:i w:val="0"/>
        </w:rPr>
        <w:t>We do not cover any claim, loss or liability arising from training or assessment delivered on your behalf, or under your registration, by a third party that is not your employee, including under an auspicing, partnership or licensing arrangement.</w:t>
      </w:r>
    </w:p>
    <w:p>
      <w:bookmarkStart w:id="114" w:name="c_pi_et_end_international_students"/>
      <w:r>
        <w:rPr>
          <w:rFonts w:ascii="Georgia" w:hAnsi="Georgia" w:eastAsia="Georgia"/>
          <w:b/>
          <w:i w:val="0"/>
          <w:color w:val="2E5C4E"/>
          <w:sz w:val="25"/>
        </w:rPr>
        <w:t>International Students Sub-limit</w:t>
      </w:r>
      <w:bookmarkEnd w:id="114"/>
    </w:p>
    <w:p>
      <w:r>
        <w:rPr>
          <w:b w:val="0"/>
          <w:i w:val="0"/>
        </w:rPr>
        <w:t>For all claims arising from services to international students, including services as an education agent, the most we will pay in total, including defence costs, is the sub-limit shown in the schedule for this endorsement. The sub-limit is part of, and not in addition to, the limit of liability.</w:t>
      </w:r>
    </w:p>
    <w:p>
      <w:bookmarkStart w:id="115" w:name="c_pi_et_end_vet_student_loans"/>
      <w:r>
        <w:rPr>
          <w:rFonts w:ascii="Georgia" w:hAnsi="Georgia" w:eastAsia="Georgia"/>
          <w:b/>
          <w:i w:val="0"/>
          <w:color w:val="2E5C4E"/>
          <w:sz w:val="25"/>
        </w:rPr>
        <w:t>VET Student Loans Exclusion</w:t>
      </w:r>
      <w:bookmarkEnd w:id="115"/>
    </w:p>
    <w:p>
      <w:r>
        <w:rPr>
          <w:b w:val="0"/>
          <w:i w:val="0"/>
        </w:rPr>
        <w:t>We do not cover any claim, loss or liability arising from your participation in the VET Student Loans program, including any requirement to repay or re-credit loan amounts.</w:t>
      </w:r>
    </w:p>
    <w:p>
      <w:bookmarkStart w:id="116" w:name="c_pi_et_end_high_risk_training"/>
      <w:r>
        <w:rPr>
          <w:rFonts w:ascii="Georgia" w:hAnsi="Georgia" w:eastAsia="Georgia"/>
          <w:b/>
          <w:i w:val="0"/>
          <w:color w:val="2E5C4E"/>
          <w:sz w:val="25"/>
        </w:rPr>
        <w:t>High-Risk Practical Training Exclusion</w:t>
      </w:r>
      <w:bookmarkEnd w:id="116"/>
    </w:p>
    <w:p>
      <w:r>
        <w:rPr>
          <w:b w:val="0"/>
          <w:i w:val="0"/>
        </w:rPr>
        <w:t>We do not cover any claim, loss or liability arising from practical training in high-risk work, including work that requires a high-risk work licence, working at heights, confined spaces, driving, aviation, maritime and firearms training.</w:t>
      </w:r>
    </w:p>
    <w:p>
      <w:bookmarkStart w:id="117" w:name="c_pi_et_end_increased_reassessment"/>
      <w:r>
        <w:rPr>
          <w:rFonts w:ascii="Georgia" w:hAnsi="Georgia" w:eastAsia="Georgia"/>
          <w:b/>
          <w:i w:val="0"/>
          <w:color w:val="2E5C4E"/>
          <w:sz w:val="25"/>
        </w:rPr>
        <w:t>Increased Re-assessment Sub-limit</w:t>
      </w:r>
      <w:bookmarkEnd w:id="117"/>
    </w:p>
    <w:p>
      <w:r>
        <w:rPr>
          <w:b w:val="0"/>
          <w:i w:val="0"/>
        </w:rPr>
        <w:t xml:space="preserve">The sub-limit for </w:t>
      </w:r>
      <w:hyperlink w:anchor="c_pi_et_ext_reassessment_costs">
        <w:r>
          <w:rPr>
            <w:color w:val="2E5C4E"/>
            <w:u w:val="single"/>
          </w:rPr>
          <w:t xml:space="preserve">the Re-assessment and Re-issue Costs extension</w:t>
        </w:r>
      </w:hyperlink>
      <w:r>
        <w:rPr>
          <w:b w:val="0"/>
          <w:i w:val="0"/>
        </w:rPr>
        <w:t xml:space="preserve"> is increased to the amount shown in the schedule for this endorsement.</w:t>
      </w:r>
    </w:p>
    <w:p>
      <w:bookmarkStart w:id="118" w:name="c_pi_licence_notice"/>
      <w:r>
        <w:rPr>
          <w:rFonts w:ascii="Georgia" w:hAnsi="Georgia" w:eastAsia="Georgia"/>
          <w:b/>
          <w:i w:val="0"/>
          <w:color w:val="1C1915"/>
          <w:sz w:val="32"/>
        </w:rPr>
        <w:t>Licence and Trademark Notice</w:t>
      </w:r>
      <w:bookmarkEnd w:id="118"/>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Built on base PI 1.5.0-DRAFT.</w:t>
      </w:r>
    </w:p>
    <w:p>
      <w:pPr>
        <w:pStyle w:val="ListBullet"/>
      </w:pPr>
      <w:r>
        <w:rPr>
          <w:b w:val="0"/>
          <w:i w:val="0"/>
        </w:rPr>
        <w:t>Base changes flow through: Financial Services exclusion, Sanctions, Statutory Liability, Other Insurance, Cancellation, the Insurance Contracts Act 1984 (Cth) condition and the other changes listed for base PI 1.5.0-DRAFT.</w:t>
      </w:r>
    </w:p>
    <w:p>
      <w:pPr>
        <w:pStyle w:val="ListBullet"/>
      </w:pPr>
      <w:r>
        <w:rPr>
          <w:b w:val="0"/>
          <w:i w:val="0"/>
        </w:rPr>
        <w:t>Failure to Educate extension: now states its scope. It covers compensation for loss caused by the failure, such as replacement training. It does not cover the refund of tuition fees or liability greater than at law.</w:t>
      </w:r>
    </w:p>
    <w:p>
      <w:pPr>
        <w:pStyle w:val="ListBullet"/>
      </w:pPr>
      <w:r>
        <w:rPr>
          <w:b w:val="0"/>
          <w:i w:val="0"/>
        </w:rPr>
        <w:t>Re-assessment and Re-issue Costs extension: now responds to a regulator's finding made in a claim, or notified as a circumstance during the policy period, for assessments made on or after the retroactive date. It has a default sub-limit of $50,000. Default set for underwriter confirmation.</w:t>
      </w:r>
    </w:p>
    <w:p>
      <w:pPr>
        <w:pStyle w:val="ListBullet"/>
      </w:pPr>
      <w:r>
        <w:rPr>
          <w:b w:val="0"/>
          <w:i w:val="0"/>
        </w:rPr>
        <w:t>Abuse exclusion: flagged for review of whether it is compatible with any insurance condition of school or registered training organisation registration.</w:t>
      </w:r>
    </w:p>
    <w:p>
      <w:pPr>
        <w:pStyle w:val="ListBullet"/>
      </w:pPr>
      <w:r>
        <w:rPr>
          <w:b w:val="0"/>
          <w:i w:val="0"/>
        </w:rPr>
        <w:t>Education Regulators extension: now covers an audit, investigation or inquiry prompted by a complaint, an allegation or a suspected breach, treats it as a formal inquiry, and does not cover routine audits.</w:t>
      </w:r>
    </w:p>
    <w:p>
      <w:r>
        <w:rPr>
          <w:b w:val="0"/>
          <w:i/>
          <w:sz w:val="18"/>
        </w:rPr>
        <w:t>Cuttleflow Systems — Open Source Insurance Wording</w:t>
      </w:r>
    </w:p>
    <w:p>
      <w:r>
        <w:rPr>
          <w:rFonts w:ascii="Consolas" w:hAnsi="Consolas" w:eastAsia="Consolas"/>
          <w:b w:val="0"/>
          <w:i w:val="0"/>
          <w:sz w:val="16"/>
        </w:rPr>
        <w:t>2026/PI/0010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2026/PI/0010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EDUCATION AND TRAINING PROFESSIONAL INDEMNITY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Training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