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EDUCATION AND TRAINING</w:t>
      </w:r>
    </w:p>
    <w:p>
      <w:r>
        <w:rPr>
          <w:rFonts w:ascii="Georgia" w:hAnsi="Georgia" w:eastAsia="Georgia"/>
          <w:b/>
          <w:i w:val="0"/>
          <w:sz w:val="60"/>
        </w:rPr>
        <w:t>Education and Training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2026/PI/0010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Education and Training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for a fee, a grant or other funding:</w:t>
      </w:r>
    </w:p>
    <w:p>
      <w:r>
        <w:rPr>
          <w:b w:val="0"/>
          <w:i w:val="0"/>
        </w:rPr>
        <w:t>(a) education and training by a school, higher education provider or registered training organisation, including teaching, assessment, the issue of qualifications and statements of attainment, and student support;</w:t>
      </w:r>
    </w:p>
    <w:p>
      <w:r>
        <w:rPr>
          <w:b w:val="0"/>
          <w:i w:val="0"/>
        </w:rPr>
        <w:t>(b) tutoring and coaching;</w:t>
      </w:r>
    </w:p>
    <w:p>
      <w:r>
        <w:rPr>
          <w:b w:val="0"/>
          <w:i w:val="0"/>
        </w:rPr>
        <w:t>(c) course and curriculum design;</w:t>
      </w:r>
    </w:p>
    <w:p>
      <w:r>
        <w:rPr>
          <w:b w:val="0"/>
          <w:i w:val="0"/>
        </w:rPr>
        <w:t>(d) recruiting and advising students as an education agent; and</w:t>
      </w:r>
    </w:p>
    <w:p>
      <w:r>
        <w:rPr>
          <w:b w:val="0"/>
          <w:i w:val="0"/>
        </w:rPr>
        <w:t>(e) any other service shown in the schedule as a professional service.</w:t>
      </w:r>
    </w:p>
    <w:p>
      <w:r>
        <w:rPr>
          <w:b w:val="0"/>
          <w:i w:val="0"/>
        </w:rPr>
        <w:t>A service in (a) is a professional service only while you hold the registration that the law requires to provide it.</w:t>
      </w:r>
    </w:p>
    <w:p>
      <w:bookmarkStart w:id="2" w:name="c_end_1"/>
      <w:r>
        <w:rPr>
          <w:rFonts w:ascii="Georgia" w:hAnsi="Georgia" w:eastAsia="Georgia"/>
          <w:b/>
          <w:i w:val="0"/>
          <w:color w:val="1C1915"/>
          <w:sz w:val="32"/>
        </w:rPr>
        <w:t>Added: Failure to Educate</w:t>
      </w:r>
      <w:bookmarkEnd w:id="2"/>
    </w:p>
    <w:p>
      <w:r>
        <w:rPr>
          <w:b w:val="0"/>
          <w:i w:val="0"/>
        </w:rPr>
        <w:t>The following extension is added to the base wording, after the Subcontractors and Outsourcers extension.</w:t>
      </w:r>
    </w:p>
    <w:p>
      <w:r>
        <w:rPr>
          <w:b/>
          <w:i w:val="0"/>
        </w:rPr>
        <w:t>Failure to Educate</w:t>
      </w:r>
    </w:p>
    <w:p>
      <w:r>
        <w:rPr>
          <w:b w:val="0"/>
          <w:i w:val="0"/>
        </w:rPr>
        <w:t>We cover you for a claim by a student, or a person paying for a student, that you failed to provide the education, training or assessment that you promised or that the law required, including a claim arising from the cancellation of a qualification or statement of attainment that you issued.</w:t>
      </w:r>
    </w:p>
    <w:p>
      <w:r>
        <w:rPr>
          <w:b w:val="0"/>
          <w:i w:val="0"/>
        </w:rPr>
        <w:t xml:space="preserve">The cover is for compensation for loss that your failure caused, such as the cost of replacement training or assessment. It does not extend to the refund of tuition fees, which is dealt with by </w:t>
      </w:r>
      <w:hyperlink w:anchor="c_pi_et_excl_fee_refunds">
        <w:r>
          <w:rPr>
            <w:color w:val="2E5C4E"/>
            <w:u w:val="single"/>
          </w:rPr>
          <w:t xml:space="preserve">the Fee Refunds exclusion</w:t>
        </w:r>
      </w:hyperlink>
      <w:r>
        <w:rPr>
          <w:b w:val="0"/>
          <w:i w:val="0"/>
        </w:rPr>
        <w:t xml:space="preserve">, or to liability greater than the liability you would have at law, which is dealt with by </w:t>
      </w:r>
      <w:hyperlink w:anchor="c_pi_excl_contractual_liability">
        <w:r>
          <w:rPr>
            <w:color w:val="2E5C4E"/>
            <w:u w:val="single"/>
          </w:rPr>
          <w:t xml:space="preserve">the Contractual Liability exclusion</w:t>
        </w:r>
      </w:hyperlink>
      <w:r>
        <w:rPr>
          <w:b w:val="0"/>
          <w:i w:val="0"/>
        </w:rPr>
        <w:t>.</w:t>
      </w:r>
    </w:p>
    <w:p>
      <w:bookmarkStart w:id="3" w:name="c_end_2"/>
      <w:r>
        <w:rPr>
          <w:rFonts w:ascii="Georgia" w:hAnsi="Georgia" w:eastAsia="Georgia"/>
          <w:b/>
          <w:i w:val="0"/>
          <w:color w:val="1C1915"/>
          <w:sz w:val="32"/>
        </w:rPr>
        <w:t>Added: Re-assessment and Re-issue Costs</w:t>
      </w:r>
      <w:bookmarkEnd w:id="3"/>
    </w:p>
    <w:p>
      <w:r>
        <w:rPr>
          <w:b w:val="0"/>
          <w:i w:val="0"/>
        </w:rPr>
        <w:t>The following extension is added to the base wording, after the Failure to Educate extension.</w:t>
      </w:r>
    </w:p>
    <w:p>
      <w:r>
        <w:rPr>
          <w:b/>
          <w:i w:val="0"/>
        </w:rPr>
        <w:t>Re-assessment and Re-issue Costs</w:t>
      </w:r>
    </w:p>
    <w:p>
      <w:r>
        <w:rPr>
          <w:b w:val="0"/>
          <w:i w:val="0"/>
        </w:rPr>
        <w:t xml:space="preserve">If a regulator finds that your assessment of students did not meet the standards that apply, and the finding is made against you in a claim, or you tell us about it as a circumstance under </w:t>
      </w:r>
      <w:hyperlink w:anchor="c_pi_cover_notification_of_circumstances">
        <w:r>
          <w:rPr>
            <w:color w:val="2E5C4E"/>
            <w:u w:val="single"/>
          </w:rPr>
          <w:t xml:space="preserve">the Notification of Circumstances clause</w:t>
        </w:r>
      </w:hyperlink>
      <w:r>
        <w:rPr>
          <w:b w:val="0"/>
          <w:i w:val="0"/>
        </w:rPr>
        <w:t>, during the policy period, and the assessments were made on or after the retroactive date, we will pay the reasonable costs, incurred with our consent, of re-assessing the affected students, providing additional training to them, and re-issuing their qualifications or statements of attainment.</w:t>
      </w:r>
    </w:p>
    <w:p>
      <w:r>
        <w:rPr>
          <w:b w:val="0"/>
          <w:i w:val="0"/>
        </w:rPr>
        <w:t>The most we will pay under this extension in the policy period is the sub-limit shown in the schedule, or $50,000 if no sub-limit is shown, which is part of the limit of liability.</w:t>
      </w:r>
    </w:p>
    <w:p>
      <w:bookmarkStart w:id="4" w:name="c_end_3"/>
      <w:r>
        <w:rPr>
          <w:rFonts w:ascii="Georgia" w:hAnsi="Georgia" w:eastAsia="Georgia"/>
          <w:b/>
          <w:i w:val="0"/>
          <w:color w:val="1C1915"/>
          <w:sz w:val="32"/>
        </w:rPr>
        <w:t>Added: Education Regulators</w:t>
      </w:r>
      <w:bookmarkEnd w:id="4"/>
    </w:p>
    <w:p>
      <w:r>
        <w:rPr>
          <w:b w:val="0"/>
          <w:i w:val="0"/>
        </w:rPr>
        <w:t>The following extension is added to the base wording, after the Re-assessment and Re-issue Costs extension.</w:t>
      </w:r>
    </w:p>
    <w:p>
      <w:r>
        <w:rPr>
          <w:b/>
          <w:i w:val="0"/>
        </w:rPr>
        <w:t>Education Regulators</w:t>
      </w:r>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audit, investigation or inquiry into your conduct by an education regulator, including ASQA, TEQSA, the Victorian Registration and Qualifications Authority, the Training Accreditation Council of Western Australia, and a state or territory school registration authority, that is prompted by a complaint, an allegation or a suspected breach. For this purpose that audit, investigation or inquiry is treated as a formal investigation or inquiry by a regulator.</w:t>
      </w:r>
    </w:p>
    <w:p>
      <w:r>
        <w:rPr>
          <w:b w:val="0"/>
          <w:i w:val="0"/>
        </w:rPr>
        <w:t>This extension does not cover the cost of a routine registration or re-registration audit, or any other audit that the regulator carries out as part of its regular monitoring and not because of a complaint, allegation or suspected breach.</w:t>
      </w:r>
    </w:p>
    <w:p>
      <w:bookmarkStart w:id="5" w:name="c_end_4"/>
      <w:r>
        <w:rPr>
          <w:rFonts w:ascii="Georgia" w:hAnsi="Georgia" w:eastAsia="Georgia"/>
          <w:b/>
          <w:i w:val="0"/>
          <w:color w:val="1C1915"/>
          <w:sz w:val="32"/>
        </w:rPr>
        <w:t>Added: Teachers, Contractors and Volunteers</w:t>
      </w:r>
      <w:bookmarkEnd w:id="5"/>
    </w:p>
    <w:p>
      <w:r>
        <w:rPr>
          <w:b w:val="0"/>
          <w:i w:val="0"/>
        </w:rPr>
        <w:t>The following extension is added to the base wording, after the Education Regulators extension.</w:t>
      </w:r>
    </w:p>
    <w:p>
      <w:r>
        <w:rPr>
          <w:b/>
          <w:i w:val="0"/>
        </w:rPr>
        <w:t>Teachers, Contractors and Volunteers</w:t>
      </w:r>
    </w:p>
    <w:p>
      <w:r>
        <w:rPr>
          <w:b w:val="0"/>
          <w:i w:val="0"/>
        </w:rPr>
        <w:t>A teacher, trainer, assessor or tutor engaged by you as a contractor, and a volunteer acting for you, is an insured person for the professional services they provide on your behalf.</w:t>
      </w:r>
    </w:p>
    <w:p>
      <w:bookmarkStart w:id="6" w:name="c_end_5"/>
      <w:r>
        <w:rPr>
          <w:rFonts w:ascii="Georgia" w:hAnsi="Georgia" w:eastAsia="Georgia"/>
          <w:b/>
          <w:i w:val="0"/>
          <w:color w:val="1C1915"/>
          <w:sz w:val="32"/>
        </w:rPr>
        <w:t>Added: Abuse</w:t>
      </w:r>
      <w:bookmarkEnd w:id="6"/>
    </w:p>
    <w:p>
      <w:r>
        <w:rPr>
          <w:b w:val="0"/>
          <w:i w:val="0"/>
        </w:rPr>
        <w:t>The following exclusion is added to the base wording, after the Bodily Injury and Property Damage exclusion.</w:t>
      </w:r>
    </w:p>
    <w:p>
      <w:r>
        <w:rPr>
          <w:b/>
          <w:i w:val="0"/>
        </w:rPr>
        <w:t>Abuse</w:t>
      </w:r>
    </w:p>
    <w:p>
      <w:r>
        <w:rPr>
          <w:b w:val="0"/>
          <w:i w:val="0"/>
        </w:rPr>
        <w:t>Arising from the sexual, physical or psychological abuse, molestation or harassment of any person, or from any failure to prevent, detect, report or respond to it, whether the claim is for negligence, breach of a non-delegable duty or any other cause of action.</w:t>
      </w:r>
    </w:p>
    <w:p>
      <w:r>
        <w:rPr>
          <w:b w:val="0"/>
          <w:i w:val="0"/>
        </w:rPr>
        <w:t>This exposure is designed to be covered under an abuse liability policy.</w:t>
      </w:r>
    </w:p>
    <w:p>
      <w:r>
        <w:rPr>
          <w:b w:val="0"/>
          <w:i w:val="0"/>
        </w:rPr>
        <w:t>[WP REVIEW: confirm that this exclusion, which also removes cover for failure to report abuse, is compatible with any insurance condition of school or registered training organisation registration.]</w:t>
      </w:r>
    </w:p>
    <w:p>
      <w:bookmarkStart w:id="7" w:name="c_end_6"/>
      <w:r>
        <w:rPr>
          <w:rFonts w:ascii="Georgia" w:hAnsi="Georgia" w:eastAsia="Georgia"/>
          <w:b/>
          <w:i w:val="0"/>
          <w:color w:val="1C1915"/>
          <w:sz w:val="32"/>
        </w:rPr>
        <w:t>Added: Fee Refunds</w:t>
      </w:r>
      <w:bookmarkEnd w:id="7"/>
    </w:p>
    <w:p>
      <w:r>
        <w:rPr>
          <w:b w:val="0"/>
          <w:i w:val="0"/>
        </w:rPr>
        <w:t>The following exclusion is added to the base wording, after the Trading Debts and Business Losses exclusion.</w:t>
      </w:r>
    </w:p>
    <w:p>
      <w:r>
        <w:rPr>
          <w:b/>
          <w:i w:val="0"/>
        </w:rPr>
        <w:t>Fee Refunds</w:t>
      </w:r>
    </w:p>
    <w:p>
      <w:r>
        <w:rPr>
          <w:b w:val="0"/>
          <w:i w:val="0"/>
        </w:rPr>
        <w:t>For the refund or re-crediting of tuition fees, student loan amounts or levies, including amounts payable under a tuition protection scheme, except to the extent that a court or tribunal orders them as compensation for your negligence.</w:t>
      </w:r>
    </w:p>
    <w:p>
      <w:bookmarkStart w:id="8" w:name="c_end_7"/>
      <w:r>
        <w:rPr>
          <w:rFonts w:ascii="Georgia" w:hAnsi="Georgia" w:eastAsia="Georgia"/>
          <w:b/>
          <w:i w:val="0"/>
          <w:color w:val="1C1915"/>
          <w:sz w:val="32"/>
        </w:rPr>
        <w:t>Added: Research</w:t>
      </w:r>
      <w:bookmarkEnd w:id="8"/>
    </w:p>
    <w:p>
      <w:r>
        <w:rPr>
          <w:b w:val="0"/>
          <w:i w:val="0"/>
        </w:rPr>
        <w:t>The following exclusion is added to the base wording, after the Fee Refunds exclusion.</w:t>
      </w:r>
    </w:p>
    <w:p>
      <w:r>
        <w:rPr>
          <w:b/>
          <w:i w:val="0"/>
        </w:rPr>
        <w:t>Research</w:t>
      </w:r>
    </w:p>
    <w:p>
      <w:r>
        <w:rPr>
          <w:b w:val="0"/>
          <w:i w:val="0"/>
        </w:rPr>
        <w:t>Arising from research, clinical trials or product development, other than research carried out by students as part of their course.</w:t>
      </w:r>
    </w:p>
    <w:p>
      <w:bookmarkStart w:id="9" w:name="c_end_8"/>
      <w:r>
        <w:rPr>
          <w:rFonts w:ascii="Georgia" w:hAnsi="Georgia" w:eastAsia="Georgia"/>
          <w:b/>
          <w:i w:val="0"/>
          <w:color w:val="1C1915"/>
          <w:sz w:val="32"/>
        </w:rPr>
        <w:t>Education and Training Endorsements</w:t>
      </w:r>
      <w:bookmarkEnd w:id="9"/>
    </w:p>
    <w:p>
      <w:r>
        <w:rPr>
          <w:b w:val="0"/>
          <w:i w:val="0"/>
        </w:rPr>
        <w:t>The following endorsements apply to this policy only when the schedule shows that they apply.</w:t>
      </w:r>
    </w:p>
    <w:p>
      <w:bookmarkStart w:id="10" w:name="c_end_9"/>
      <w:r>
        <w:rPr>
          <w:rFonts w:ascii="Georgia" w:hAnsi="Georgia" w:eastAsia="Georgia"/>
          <w:b/>
          <w:i w:val="0"/>
          <w:color w:val="1C1915"/>
          <w:sz w:val="32"/>
        </w:rPr>
        <w:t>Third-Party Delivery Exclusion</w:t>
      </w:r>
      <w:bookmarkEnd w:id="10"/>
    </w:p>
    <w:p>
      <w:r>
        <w:rPr>
          <w:b w:val="0"/>
          <w:i w:val="0"/>
        </w:rPr>
        <w:t>We do not cover any claim, loss or liability arising from training or assessment delivered on your behalf, or under your registration, by a third party that is not your employee, including under an auspicing, partnership or licensing arrangement.</w:t>
      </w:r>
    </w:p>
    <w:p>
      <w:bookmarkStart w:id="11" w:name="c_end_10"/>
      <w:r>
        <w:rPr>
          <w:rFonts w:ascii="Georgia" w:hAnsi="Georgia" w:eastAsia="Georgia"/>
          <w:b/>
          <w:i w:val="0"/>
          <w:color w:val="1C1915"/>
          <w:sz w:val="32"/>
        </w:rPr>
        <w:t>International Students Sub-limit</w:t>
      </w:r>
      <w:bookmarkEnd w:id="11"/>
    </w:p>
    <w:p>
      <w:r>
        <w:rPr>
          <w:b w:val="0"/>
          <w:i w:val="0"/>
        </w:rPr>
        <w:t>For all claims arising from services to international students, including services as an education agent, the most we will pay in total, including defence costs, is the sub-limit shown in the schedule for this endorsement. The sub-limit is part of, and not in addition to, the limit of liability.</w:t>
      </w:r>
    </w:p>
    <w:p>
      <w:bookmarkStart w:id="12" w:name="c_end_11"/>
      <w:r>
        <w:rPr>
          <w:rFonts w:ascii="Georgia" w:hAnsi="Georgia" w:eastAsia="Georgia"/>
          <w:b/>
          <w:i w:val="0"/>
          <w:color w:val="1C1915"/>
          <w:sz w:val="32"/>
        </w:rPr>
        <w:t>VET Student Loans Exclusion</w:t>
      </w:r>
      <w:bookmarkEnd w:id="12"/>
    </w:p>
    <w:p>
      <w:r>
        <w:rPr>
          <w:b w:val="0"/>
          <w:i w:val="0"/>
        </w:rPr>
        <w:t>We do not cover any claim, loss or liability arising from your participation in the VET Student Loans program, including any requirement to repay or re-credit loan amounts.</w:t>
      </w:r>
    </w:p>
    <w:p>
      <w:bookmarkStart w:id="13" w:name="c_end_12"/>
      <w:r>
        <w:rPr>
          <w:rFonts w:ascii="Georgia" w:hAnsi="Georgia" w:eastAsia="Georgia"/>
          <w:b/>
          <w:i w:val="0"/>
          <w:color w:val="1C1915"/>
          <w:sz w:val="32"/>
        </w:rPr>
        <w:t>High-Risk Practical Training Exclusion</w:t>
      </w:r>
      <w:bookmarkEnd w:id="13"/>
    </w:p>
    <w:p>
      <w:r>
        <w:rPr>
          <w:b w:val="0"/>
          <w:i w:val="0"/>
        </w:rPr>
        <w:t>We do not cover any claim, loss or liability arising from practical training in high-risk work, including work that requires a high-risk work licence, working at heights, confined spaces, driving, aviation, maritime and firearms training.</w:t>
      </w:r>
    </w:p>
    <w:p>
      <w:bookmarkStart w:id="14" w:name="c_end_13"/>
      <w:r>
        <w:rPr>
          <w:rFonts w:ascii="Georgia" w:hAnsi="Georgia" w:eastAsia="Georgia"/>
          <w:b/>
          <w:i w:val="0"/>
          <w:color w:val="1C1915"/>
          <w:sz w:val="32"/>
        </w:rPr>
        <w:t>Increased Re-assessment Sub-limit</w:t>
      </w:r>
      <w:bookmarkEnd w:id="14"/>
    </w:p>
    <w:p>
      <w:r>
        <w:rPr>
          <w:b w:val="0"/>
          <w:i w:val="0"/>
        </w:rPr>
        <w:t xml:space="preserve">The sub-limit for </w:t>
      </w:r>
      <w:hyperlink w:anchor="c_pi_et_ext_reassessment_costs">
        <w:r>
          <w:rPr>
            <w:color w:val="2E5C4E"/>
            <w:u w:val="single"/>
          </w:rPr>
          <w:t xml:space="preserve">the Re-assessment and Re-issue Costs extension</w:t>
        </w:r>
      </w:hyperlink>
      <w:r>
        <w:rPr>
          <w:b w:val="0"/>
          <w:i w:val="0"/>
        </w:rPr>
        <w:t xml:space="preserve"> is increased to the amount shown in the schedule for this endorsement.</w:t>
      </w:r>
    </w:p>
    <w:p>
      <w:r>
        <w:rPr>
          <w:b w:val="0"/>
          <w:i/>
          <w:sz w:val="18"/>
        </w:rPr>
        <w:t>Cuttleflow Systems — Open Source Insurance Wording</w:t>
      </w:r>
    </w:p>
    <w:p>
      <w:r>
        <w:rPr>
          <w:rFonts w:ascii="Consolas" w:hAnsi="Consolas" w:eastAsia="Consolas"/>
          <w:b w:val="0"/>
          <w:i w:val="0"/>
          <w:sz w:val="16"/>
        </w:rPr>
        <w:t>2026/PI/0010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2026/PI/0010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EDUCATION AND TRAINING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Training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