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BUILDING SURVEYORS AND CERTIFIERS</w:t>
      </w:r>
    </w:p>
    <w:p>
      <w:r>
        <w:rPr>
          <w:rFonts w:ascii="Georgia" w:hAnsi="Georgia" w:eastAsia="Georgia"/>
          <w:b/>
          <w:i w:val="0"/>
          <w:sz w:val="60"/>
        </w:rPr>
        <w:t>Building Surveyors and Certifiers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2026/PI/0003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bsc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building surveying, and the assessment, approval and certification of building work, under a building law of a state or territory;</w:t>
            </w:r>
          </w:p>
          <w:p>
            <w:r>
              <w:rPr>
                <w:b w:val="0"/>
                <w:i w:val="0"/>
              </w:rPr>
              <w:t>(b) the inspection of building work at the stages that building law requires or permits;</w:t>
            </w:r>
          </w:p>
          <w:p>
            <w:r>
              <w:rPr>
                <w:b w:val="0"/>
                <w:i w:val="0"/>
              </w:rPr>
              <w:t>(c) building compliance reports, building condition reports and fire safety reports prepared in connection with the services in (a) and (b); and</w:t>
            </w:r>
          </w:p>
          <w:p>
            <w:r>
              <w:rPr>
                <w:b w:val="0"/>
                <w:i w:val="0"/>
              </w:rPr>
              <w:t>(d) any other service shown in the schedule as a professional service.</w:t>
            </w:r>
          </w:p>
          <w:p>
            <w:r>
              <w:rPr>
                <w:b w:val="0"/>
                <w:i w:val="0"/>
              </w:rPr>
              <w:t>A service in (a), (b) or (c) is a professional service only if the person who provides it holds the registration, licence or accreditation that the building law requires for that function and that class of building, or provides it under the direct control and supervision of such a person to the extent that the law permits.</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bsc_ext_cover_from_first_registrati"/>
      <w:r>
        <w:rPr>
          <w:rFonts w:ascii="Georgia" w:hAnsi="Georgia" w:eastAsia="Georgia"/>
          <w:b/>
          <w:i w:val="0"/>
          <w:color w:val="2E5C4E"/>
          <w:sz w:val="25"/>
        </w:rPr>
        <w:t>Cover from First Registration</w:t>
      </w:r>
      <w:bookmarkEnd w:id="49"/>
    </w:p>
    <w:p>
      <w:r>
        <w:rPr>
          <w:b w:val="0"/>
          <w:i w:val="0"/>
        </w:rPr>
        <w:t>This extension applies to a building surveyor or certifier registered under the Building and Development Certifiers Act 2018 (NSW), and to any other building surveyor or certifier registered under a law of a state or territory that requires insurance to cover liability for work carried out since first registration.</w:t>
      </w:r>
    </w:p>
    <w:p>
      <w:r>
        <w:rPr>
          <w:b w:val="0"/>
          <w:i w:val="0"/>
        </w:rPr>
        <w:t xml:space="preserve">For a claim arising from work carried out since first registration, the retroactive date is the date you were first registered under that law, if that date is earlier than the retroactive date shown in the schedule. That date applies to the claim in place of the date shown in the schedule, as the definition of </w:t>
      </w:r>
      <w:hyperlink w:anchor="c_pi_def_retroactive_date">
        <w:r>
          <w:rPr>
            <w:color w:val="2E5C4E"/>
            <w:u w:val="single"/>
          </w:rPr>
          <w:t xml:space="preserve">the definition of Retroactive date</w:t>
        </w:r>
      </w:hyperlink>
      <w:r>
        <w:rPr>
          <w:b w:val="0"/>
          <w:i w:val="0"/>
        </w:rPr>
        <w:t xml:space="preserve"> provides.</w:t>
      </w:r>
    </w:p>
    <w:p>
      <w:r>
        <w:rPr>
          <w:b w:val="0"/>
          <w:i w:val="0"/>
        </w:rPr>
        <w:t xml:space="preserve">This extension does not affect </w:t>
      </w:r>
      <w:hyperlink w:anchor="c_pi_excl_prior_known_circumstances">
        <w:r>
          <w:rPr>
            <w:color w:val="2E5C4E"/>
            <w:u w:val="single"/>
          </w:rPr>
          <w:t xml:space="preserve">the Prior Known Circumstances exclusion</w:t>
        </w:r>
      </w:hyperlink>
      <w:r>
        <w:rPr>
          <w:b w:val="0"/>
          <w:i w:val="0"/>
        </w:rPr>
        <w:t>.</w:t>
      </w:r>
    </w:p>
    <w:p>
      <w:r>
        <w:rPr>
          <w:b w:val="0"/>
          <w:i w:val="0"/>
        </w:rPr>
        <w:t>[WP REVIEW: confirm that the NSW certifier insurance rules require cover for work carried out since first registration, whether a prior-knowledge exclusion may apply to that cover, and whether any other state has the same rule.]</w:t>
      </w:r>
    </w:p>
    <w:p>
      <w:bookmarkStart w:id="50" w:name="c_pi_bsc_ext_building_regulator_proceedi"/>
      <w:r>
        <w:rPr>
          <w:rFonts w:ascii="Georgia" w:hAnsi="Georgia" w:eastAsia="Georgia"/>
          <w:b/>
          <w:i w:val="0"/>
          <w:color w:val="2E5C4E"/>
          <w:sz w:val="25"/>
        </w:rPr>
        <w:t>Building Regulator Proceedings</w:t>
      </w:r>
      <w:bookmarkEnd w:id="50"/>
    </w:p>
    <w:p>
      <w:r>
        <w:rPr>
          <w:b w:val="0"/>
          <w:i w:val="0"/>
        </w:rPr>
        <w:t xml:space="preserve">In </w:t>
      </w:r>
      <w:hyperlink w:anchor="c_pi_def_claim">
        <w:r>
          <w:rPr>
            <w:color w:val="2E5C4E"/>
            <w:u w:val="single"/>
          </w:rPr>
          <w:t xml:space="preserve">the definition of Claim</w:t>
        </w:r>
      </w:hyperlink>
      <w:r>
        <w:rPr>
          <w:b w:val="0"/>
          <w:i w:val="0"/>
        </w:rPr>
        <w:t xml:space="preserve"> and </w:t>
      </w:r>
      <w:hyperlink w:anchor="c_pi_ext_inquiry_costs">
        <w:r>
          <w:rPr>
            <w:color w:val="2E5C4E"/>
            <w:u w:val="single"/>
          </w:rPr>
          <w:t xml:space="preserve">the Inquiry Costs extension</w:t>
        </w:r>
      </w:hyperlink>
      <w:r>
        <w:rPr>
          <w:b w:val="0"/>
          <w:i w:val="0"/>
        </w:rPr>
        <w:t xml:space="preserve">, a professional disciplinary body and a regulator include any authority of a state or territory that registers, licenses, audits or disciplines building surveyors or certifiers. A formal complaint or proceeding before such an authority is a claim within paragraph (e) of </w:t>
      </w:r>
      <w:hyperlink w:anchor="c_pi_def_claim">
        <w:r>
          <w:rPr>
            <w:color w:val="2E5C4E"/>
            <w:u w:val="single"/>
          </w:rPr>
          <w:t xml:space="preserve">the definition of Claim</w:t>
        </w:r>
      </w:hyperlink>
      <w:r>
        <w:rPr>
          <w:b w:val="0"/>
          <w:i w:val="0"/>
        </w:rPr>
        <w:t xml:space="preserve">, for which we pay defence costs under </w:t>
      </w:r>
      <w:hyperlink w:anchor="c_pi_cover_claims_against_you">
        <w:r>
          <w:rPr>
            <w:color w:val="2E5C4E"/>
            <w:u w:val="single"/>
          </w:rPr>
          <w:t xml:space="preserve">the Claims Against You clause</w:t>
        </w:r>
      </w:hyperlink>
      <w:r>
        <w:rPr>
          <w:b w:val="0"/>
          <w:i w:val="0"/>
        </w:rPr>
        <w:t xml:space="preserve">. An investigation or inquiry by it that has not yet become a formal complaint or proceeding is dealt with under </w:t>
      </w:r>
      <w:hyperlink w:anchor="c_pi_ext_inquiry_costs">
        <w:r>
          <w:rPr>
            <w:color w:val="2E5C4E"/>
            <w:u w:val="single"/>
          </w:rPr>
          <w:t xml:space="preserve">the Inquiry Costs extension</w:t>
        </w:r>
      </w:hyperlink>
      <w:r>
        <w:rPr>
          <w:b w:val="0"/>
          <w:i w:val="0"/>
        </w:rPr>
        <w:t>.</w:t>
      </w:r>
    </w:p>
    <w:p>
      <w:r>
        <w:rPr>
          <w:b w:val="0"/>
          <w:i w:val="0"/>
        </w:rPr>
        <w:t xml:space="preserve">Despite </w:t>
      </w:r>
      <w:hyperlink w:anchor="c_pi_ext_statutory_liability">
        <w:r>
          <w:rPr>
            <w:color w:val="2E5C4E"/>
            <w:u w:val="single"/>
          </w:rPr>
          <w:t xml:space="preserve">the Statutory Liability extension</w:t>
        </w:r>
      </w:hyperlink>
      <w:r>
        <w:rPr>
          <w:b w:val="0"/>
          <w:i w:val="0"/>
        </w:rPr>
        <w:t>, we do not pay any fine or penalty imposed on you by such an authority, or the cost of complying with an order to carry out or pay for rectification work, except to the extent that the order compensates a third party for loss caused by your negligence.</w:t>
      </w:r>
    </w:p>
    <w:p>
      <w:bookmarkStart w:id="51" w:name="c_pi_section_exclusions"/>
      <w:r>
        <w:rPr>
          <w:rFonts w:ascii="Georgia" w:hAnsi="Georgia" w:eastAsia="Georgia"/>
          <w:b/>
          <w:i w:val="0"/>
          <w:color w:val="1C1915"/>
          <w:sz w:val="32"/>
        </w:rPr>
        <w:t>What Is Not Covered</w:t>
      </w:r>
      <w:bookmarkEnd w:id="51"/>
    </w:p>
    <w:p>
      <w:r>
        <w:rPr>
          <w:b w:val="0"/>
          <w:i w:val="0"/>
        </w:rPr>
        <w:t>We do not cover any claim, loss, or liability:</w:t>
      </w:r>
    </w:p>
    <w:p>
      <w:bookmarkStart w:id="52" w:name="c_pi_excl_bodily_injury_and_property_dam"/>
      <w:r>
        <w:rPr>
          <w:rFonts w:ascii="Georgia" w:hAnsi="Georgia" w:eastAsia="Georgia"/>
          <w:b/>
          <w:i w:val="0"/>
          <w:color w:val="2E5C4E"/>
          <w:sz w:val="25"/>
        </w:rPr>
        <w:t>Bodily Injury and Property Damage</w:t>
      </w:r>
      <w:bookmarkEnd w:id="52"/>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3" w:name="c_pi_excl_employers_liability"/>
      <w:r>
        <w:rPr>
          <w:rFonts w:ascii="Georgia" w:hAnsi="Georgia" w:eastAsia="Georgia"/>
          <w:b/>
          <w:i w:val="0"/>
          <w:color w:val="2E5C4E"/>
          <w:sz w:val="25"/>
        </w:rPr>
        <w:t>Employer's Liability</w:t>
      </w:r>
      <w:bookmarkEnd w:id="53"/>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4" w:name="c_pi_excl_directors_and_officers_liabili"/>
      <w:r>
        <w:rPr>
          <w:rFonts w:ascii="Georgia" w:hAnsi="Georgia" w:eastAsia="Georgia"/>
          <w:b/>
          <w:i w:val="0"/>
          <w:color w:val="2E5C4E"/>
          <w:sz w:val="25"/>
        </w:rPr>
        <w:t>Directors' and Officers' Liability</w:t>
      </w:r>
      <w:bookmarkEnd w:id="54"/>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5" w:name="c_pi_excl_cyber_event"/>
      <w:r>
        <w:rPr>
          <w:rFonts w:ascii="Georgia" w:hAnsi="Georgia" w:eastAsia="Georgia"/>
          <w:b/>
          <w:i w:val="0"/>
          <w:color w:val="2E5C4E"/>
          <w:sz w:val="25"/>
        </w:rPr>
        <w:t>Cyber Event</w:t>
      </w:r>
      <w:bookmarkEnd w:id="55"/>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6" w:name="c_pi_excl_financial_services"/>
      <w:r>
        <w:rPr>
          <w:rFonts w:ascii="Georgia" w:hAnsi="Georgia" w:eastAsia="Georgia"/>
          <w:b/>
          <w:i w:val="0"/>
          <w:color w:val="2E5C4E"/>
          <w:sz w:val="25"/>
        </w:rPr>
        <w:t>Financial Services</w:t>
      </w:r>
      <w:bookmarkEnd w:id="56"/>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7" w:name="c_pi_excl_products"/>
      <w:r>
        <w:rPr>
          <w:rFonts w:ascii="Georgia" w:hAnsi="Georgia" w:eastAsia="Georgia"/>
          <w:b/>
          <w:i w:val="0"/>
          <w:color w:val="2E5C4E"/>
          <w:sz w:val="25"/>
        </w:rPr>
        <w:t>Products</w:t>
      </w:r>
      <w:bookmarkEnd w:id="57"/>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8" w:name="c_pi_arch_excl_construction"/>
      <w:r>
        <w:rPr>
          <w:rFonts w:ascii="Georgia" w:hAnsi="Georgia" w:eastAsia="Georgia"/>
          <w:b/>
          <w:i w:val="0"/>
          <w:color w:val="2E5C4E"/>
          <w:sz w:val="25"/>
        </w:rPr>
        <w:t>Construction Work</w:t>
      </w:r>
      <w:bookmarkEnd w:id="58"/>
    </w:p>
    <w:p>
      <w:r>
        <w:rPr>
          <w:b w:val="0"/>
          <w:i w:val="0"/>
        </w:rPr>
        <w:t>Arising from physical construction, installation, fabrication or demolition work carried out by you or on your behalf, or from defects in raw materials or goods you supplied.</w:t>
      </w:r>
    </w:p>
    <w:p>
      <w:r>
        <w:rPr>
          <w:b w:val="0"/>
          <w:i w:val="0"/>
        </w:rPr>
        <w:t>This exclusion does not apply to design, contract administration, site inspection, site observation or certification services that you provide as part of your professional services.</w:t>
      </w:r>
    </w:p>
    <w:p>
      <w:bookmarkStart w:id="59" w:name="c_pi_excl_contractual_liability"/>
      <w:r>
        <w:rPr>
          <w:rFonts w:ascii="Georgia" w:hAnsi="Georgia" w:eastAsia="Georgia"/>
          <w:b/>
          <w:i w:val="0"/>
          <w:color w:val="2E5C4E"/>
          <w:sz w:val="25"/>
        </w:rPr>
        <w:t>Contractual Liability</w:t>
      </w:r>
      <w:bookmarkEnd w:id="59"/>
    </w:p>
    <w:p>
      <w:r>
        <w:rPr>
          <w:b w:val="0"/>
          <w:i w:val="0"/>
        </w:rPr>
        <w:t>For any liability you assume under a contract that is greater than the liability you would have at law without the contract.</w:t>
      </w:r>
    </w:p>
    <w:p>
      <w:bookmarkStart w:id="60" w:name="c_pi_excl_deliberate_and_dishonest_acts"/>
      <w:r>
        <w:rPr>
          <w:rFonts w:ascii="Georgia" w:hAnsi="Georgia" w:eastAsia="Georgia"/>
          <w:b/>
          <w:i w:val="0"/>
          <w:color w:val="2E5C4E"/>
          <w:sz w:val="25"/>
        </w:rPr>
        <w:t>Deliberate and Dishonest Acts</w:t>
      </w:r>
      <w:bookmarkEnd w:id="60"/>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1" w:name="c_pi_excl_prior_known_circumstances"/>
      <w:r>
        <w:rPr>
          <w:rFonts w:ascii="Georgia" w:hAnsi="Georgia" w:eastAsia="Georgia"/>
          <w:b/>
          <w:i w:val="0"/>
          <w:color w:val="2E5C4E"/>
          <w:sz w:val="25"/>
        </w:rPr>
        <w:t>Prior Known Circumstances</w:t>
      </w:r>
      <w:bookmarkEnd w:id="61"/>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2" w:name="c_pi_excl_war_terrorism_and_sanctions"/>
      <w:r>
        <w:rPr>
          <w:rFonts w:ascii="Georgia" w:hAnsi="Georgia" w:eastAsia="Georgia"/>
          <w:b/>
          <w:i w:val="0"/>
          <w:color w:val="2E5C4E"/>
          <w:sz w:val="25"/>
        </w:rPr>
        <w:t>War and Terrorism</w:t>
      </w:r>
      <w:bookmarkEnd w:id="62"/>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3" w:name="c_pi_excl_nuclear"/>
      <w:r>
        <w:rPr>
          <w:rFonts w:ascii="Georgia" w:hAnsi="Georgia" w:eastAsia="Georgia"/>
          <w:b/>
          <w:i w:val="0"/>
          <w:color w:val="2E5C4E"/>
          <w:sz w:val="25"/>
        </w:rPr>
        <w:t>Nuclear</w:t>
      </w:r>
      <w:bookmarkEnd w:id="63"/>
    </w:p>
    <w:p>
      <w:r>
        <w:rPr>
          <w:b w:val="0"/>
          <w:i w:val="0"/>
        </w:rPr>
        <w:t>Arising from nuclear reaction, radiation, or radioactive contamination, however caused.</w:t>
      </w:r>
    </w:p>
    <w:p>
      <w:bookmarkStart w:id="64" w:name="c_pi_excl_asbestos"/>
      <w:r>
        <w:rPr>
          <w:rFonts w:ascii="Georgia" w:hAnsi="Georgia" w:eastAsia="Georgia"/>
          <w:b/>
          <w:i w:val="0"/>
          <w:color w:val="2E5C4E"/>
          <w:sz w:val="25"/>
        </w:rPr>
        <w:t>Asbestos</w:t>
      </w:r>
      <w:bookmarkEnd w:id="64"/>
    </w:p>
    <w:p>
      <w:r>
        <w:rPr>
          <w:b w:val="0"/>
          <w:i w:val="0"/>
        </w:rPr>
        <w:t>Arising from or in connection with asbestos in any form, including its mining, manufacture, distribution, installation, presence, removal, or disposal.</w:t>
      </w:r>
    </w:p>
    <w:p>
      <w:bookmarkStart w:id="65" w:name="c_pi_excl_pollution"/>
      <w:r>
        <w:rPr>
          <w:rFonts w:ascii="Georgia" w:hAnsi="Georgia" w:eastAsia="Georgia"/>
          <w:b/>
          <w:i w:val="0"/>
          <w:color w:val="2E5C4E"/>
          <w:sz w:val="25"/>
        </w:rPr>
        <w:t>Pollution</w:t>
      </w:r>
      <w:bookmarkEnd w:id="65"/>
    </w:p>
    <w:p>
      <w:r>
        <w:rPr>
          <w:b w:val="0"/>
          <w:i w:val="0"/>
        </w:rPr>
        <w:t>Arising from pollution — unless the pollution is sudden, accidental, unintended, and unexpected, and results directly from your business activity.</w:t>
      </w:r>
    </w:p>
    <w:p>
      <w:bookmarkStart w:id="66" w:name="c_pi_excl_trading_debts_and_business_los"/>
      <w:r>
        <w:rPr>
          <w:rFonts w:ascii="Georgia" w:hAnsi="Georgia" w:eastAsia="Georgia"/>
          <w:b/>
          <w:i w:val="0"/>
          <w:color w:val="2E5C4E"/>
          <w:sz w:val="25"/>
        </w:rPr>
        <w:t>Trading Debts and Business Losses</w:t>
      </w:r>
      <w:bookmarkEnd w:id="66"/>
    </w:p>
    <w:p>
      <w:r>
        <w:rPr>
          <w:b w:val="0"/>
          <w:i w:val="0"/>
        </w:rPr>
        <w:t>For: (a) fees, charges, or debts owed to you; (b) your lost profit, mark-up, or overheads; (c) any trading loss or loss of any client, contract, or business opportunity; or (d) your liability for GST or any other tax.</w:t>
      </w:r>
    </w:p>
    <w:p>
      <w:bookmarkStart w:id="67" w:name="c_pi_excl_related_party_claims"/>
      <w:r>
        <w:rPr>
          <w:rFonts w:ascii="Georgia" w:hAnsi="Georgia" w:eastAsia="Georgia"/>
          <w:b/>
          <w:i w:val="0"/>
          <w:color w:val="2E5C4E"/>
          <w:sz w:val="25"/>
        </w:rPr>
        <w:t>Related Party Claims</w:t>
      </w:r>
      <w:bookmarkEnd w:id="67"/>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8" w:name="c_pi_excl_non_compensatory_payments"/>
      <w:r>
        <w:rPr>
          <w:rFonts w:ascii="Georgia" w:hAnsi="Georgia" w:eastAsia="Georgia"/>
          <w:b/>
          <w:i w:val="0"/>
          <w:color w:val="2E5C4E"/>
          <w:sz w:val="25"/>
        </w:rPr>
        <w:t>Non-Compensatory Payments</w:t>
      </w:r>
      <w:bookmarkEnd w:id="68"/>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69" w:name="c_pi_section_payment"/>
      <w:r>
        <w:rPr>
          <w:rFonts w:ascii="Georgia" w:hAnsi="Georgia" w:eastAsia="Georgia"/>
          <w:b/>
          <w:i w:val="0"/>
          <w:color w:val="1C1915"/>
          <w:sz w:val="32"/>
        </w:rPr>
        <w:t>How Much We Will Pay</w:t>
      </w:r>
      <w:bookmarkEnd w:id="69"/>
    </w:p>
    <w:p>
      <w:bookmarkStart w:id="70" w:name="c_pi_pay_limit_of_liability"/>
      <w:r>
        <w:rPr>
          <w:rFonts w:ascii="Georgia" w:hAnsi="Georgia" w:eastAsia="Georgia"/>
          <w:b/>
          <w:i w:val="0"/>
          <w:color w:val="2E5C4E"/>
          <w:sz w:val="25"/>
        </w:rPr>
        <w:t>Limit of Liability</w:t>
      </w:r>
      <w:bookmarkEnd w:id="70"/>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1" w:name="c_pi_pay_automatic_reinstatement"/>
      <w:r>
        <w:rPr>
          <w:rFonts w:ascii="Georgia" w:hAnsi="Georgia" w:eastAsia="Georgia"/>
          <w:b/>
          <w:i w:val="0"/>
          <w:color w:val="2E5C4E"/>
          <w:sz w:val="25"/>
        </w:rPr>
        <w:t>Automatic Reinstatement</w:t>
      </w:r>
      <w:bookmarkEnd w:id="71"/>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2" w:name="c_pi_pay_sub_limits"/>
      <w:r>
        <w:rPr>
          <w:rFonts w:ascii="Georgia" w:hAnsi="Georgia" w:eastAsia="Georgia"/>
          <w:b/>
          <w:i w:val="0"/>
          <w:color w:val="2E5C4E"/>
          <w:sz w:val="25"/>
        </w:rPr>
        <w:t>Sub-Limits</w:t>
      </w:r>
      <w:bookmarkEnd w:id="72"/>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3" w:name="c_pi_pay_defence_costs"/>
      <w:r>
        <w:rPr>
          <w:rFonts w:ascii="Georgia" w:hAnsi="Georgia" w:eastAsia="Georgia"/>
          <w:b/>
          <w:i w:val="0"/>
          <w:color w:val="2E5C4E"/>
          <w:sz w:val="25"/>
        </w:rPr>
        <w:t>Defence Costs</w:t>
      </w:r>
      <w:bookmarkEnd w:id="73"/>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4" w:name="c_pi_pay_excess"/>
      <w:r>
        <w:rPr>
          <w:rFonts w:ascii="Georgia" w:hAnsi="Georgia" w:eastAsia="Georgia"/>
          <w:b/>
          <w:i w:val="0"/>
          <w:color w:val="2E5C4E"/>
          <w:sz w:val="25"/>
        </w:rPr>
        <w:t>Excess</w:t>
      </w:r>
      <w:bookmarkEnd w:id="74"/>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5" w:name="c_pi_pay_other_insurance"/>
      <w:r>
        <w:rPr>
          <w:rFonts w:ascii="Georgia" w:hAnsi="Georgia" w:eastAsia="Georgia"/>
          <w:b/>
          <w:i w:val="0"/>
          <w:color w:val="2E5C4E"/>
          <w:sz w:val="25"/>
        </w:rPr>
        <w:t>Other Insurance</w:t>
      </w:r>
      <w:bookmarkEnd w:id="75"/>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6" w:name="c_pi_pay_paying_out_the_limit"/>
      <w:r>
        <w:rPr>
          <w:rFonts w:ascii="Georgia" w:hAnsi="Georgia" w:eastAsia="Georgia"/>
          <w:b/>
          <w:i w:val="0"/>
          <w:color w:val="2E5C4E"/>
          <w:sz w:val="25"/>
        </w:rPr>
        <w:t>Paying Out the Limit</w:t>
      </w:r>
      <w:bookmarkEnd w:id="76"/>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7" w:name="c_pi_pay_allocation"/>
      <w:r>
        <w:rPr>
          <w:rFonts w:ascii="Georgia" w:hAnsi="Georgia" w:eastAsia="Georgia"/>
          <w:b/>
          <w:i w:val="0"/>
          <w:color w:val="2E5C4E"/>
          <w:sz w:val="25"/>
        </w:rPr>
        <w:t>Allocation</w:t>
      </w:r>
      <w:bookmarkEnd w:id="77"/>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78" w:name="c_pi_section_obligations"/>
      <w:r>
        <w:rPr>
          <w:rFonts w:ascii="Georgia" w:hAnsi="Georgia" w:eastAsia="Georgia"/>
          <w:b/>
          <w:i w:val="0"/>
          <w:color w:val="1C1915"/>
          <w:sz w:val="32"/>
        </w:rPr>
        <w:t>Your Obligations</w:t>
      </w:r>
      <w:bookmarkEnd w:id="78"/>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79" w:name="c_pi_obl_tell_us_about_claims"/>
      <w:r>
        <w:rPr>
          <w:rFonts w:ascii="Georgia" w:hAnsi="Georgia" w:eastAsia="Georgia"/>
          <w:b/>
          <w:i w:val="0"/>
          <w:color w:val="2E5C4E"/>
          <w:sz w:val="25"/>
        </w:rPr>
        <w:t>Tell Us About Claims</w:t>
      </w:r>
      <w:bookmarkEnd w:id="79"/>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0" w:name="c_pi_obl_tell_us_about_circumstances"/>
      <w:r>
        <w:rPr>
          <w:rFonts w:ascii="Georgia" w:hAnsi="Georgia" w:eastAsia="Georgia"/>
          <w:b/>
          <w:i w:val="0"/>
          <w:color w:val="2E5C4E"/>
          <w:sz w:val="25"/>
        </w:rPr>
        <w:t>Tell Us About Circumstances</w:t>
      </w:r>
      <w:bookmarkEnd w:id="80"/>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1" w:name="c_pi_obl_do_not_admit_liability"/>
      <w:r>
        <w:rPr>
          <w:rFonts w:ascii="Georgia" w:hAnsi="Georgia" w:eastAsia="Georgia"/>
          <w:b/>
          <w:i w:val="0"/>
          <w:color w:val="2E5C4E"/>
          <w:sz w:val="25"/>
        </w:rPr>
        <w:t>Do Not Admit Liability</w:t>
      </w:r>
      <w:bookmarkEnd w:id="81"/>
    </w:p>
    <w:p>
      <w:r>
        <w:rPr>
          <w:b w:val="0"/>
          <w:i w:val="0"/>
        </w:rPr>
        <w:t>Do not admit liability, make any offer or promise to pay, or agree to settle any claim without our written consent. We will not unreasonably withhold or delay consent.</w:t>
      </w:r>
    </w:p>
    <w:p>
      <w:bookmarkStart w:id="82" w:name="c_pi_obl_cooperate_with_us"/>
      <w:r>
        <w:rPr>
          <w:rFonts w:ascii="Georgia" w:hAnsi="Georgia" w:eastAsia="Georgia"/>
          <w:b/>
          <w:i w:val="0"/>
          <w:color w:val="2E5C4E"/>
          <w:sz w:val="25"/>
        </w:rPr>
        <w:t>Cooperate With Us</w:t>
      </w:r>
      <w:bookmarkEnd w:id="82"/>
    </w:p>
    <w:p>
      <w:r>
        <w:rPr>
          <w:b w:val="0"/>
          <w:i w:val="0"/>
        </w:rPr>
        <w:t>Give us all information, documents, and assistance we reasonably need to handle the claim. Attend any meetings, examinations, or proceedings we reasonably require.</w:t>
      </w:r>
    </w:p>
    <w:p>
      <w:bookmarkStart w:id="83" w:name="c_pi_obl_mitigate_your_loss"/>
      <w:r>
        <w:rPr>
          <w:rFonts w:ascii="Georgia" w:hAnsi="Georgia" w:eastAsia="Georgia"/>
          <w:b/>
          <w:i w:val="0"/>
          <w:color w:val="2E5C4E"/>
          <w:sz w:val="25"/>
        </w:rPr>
        <w:t>Mitigate Your Loss</w:t>
      </w:r>
      <w:bookmarkEnd w:id="83"/>
    </w:p>
    <w:p>
      <w:r>
        <w:rPr>
          <w:b w:val="0"/>
          <w:i w:val="0"/>
        </w:rPr>
        <w:t>Take all reasonable steps to prevent or reduce any loss that might be covered by this policy.</w:t>
      </w:r>
    </w:p>
    <w:p>
      <w:bookmarkStart w:id="84" w:name="c_pi_obl_preserve_our_recovery_rights"/>
      <w:r>
        <w:rPr>
          <w:rFonts w:ascii="Georgia" w:hAnsi="Georgia" w:eastAsia="Georgia"/>
          <w:b/>
          <w:i w:val="0"/>
          <w:color w:val="2E5C4E"/>
          <w:sz w:val="25"/>
        </w:rPr>
        <w:t>Preserve Our Recovery Rights</w:t>
      </w:r>
      <w:bookmarkEnd w:id="84"/>
    </w:p>
    <w:p>
      <w:r>
        <w:rPr>
          <w:b w:val="0"/>
          <w:i w:val="0"/>
        </w:rPr>
        <w:t>Do not do anything after a claim is made that might prejudice our right to recover from any third party. If we pay a claim, we may take action in your name to recover what we have paid.</w:t>
      </w:r>
    </w:p>
    <w:p>
      <w:bookmarkStart w:id="85" w:name="c_pi_obl_tell_us_about_other_insurance"/>
      <w:r>
        <w:rPr>
          <w:rFonts w:ascii="Georgia" w:hAnsi="Georgia" w:eastAsia="Georgia"/>
          <w:b/>
          <w:i w:val="0"/>
          <w:color w:val="2E5C4E"/>
          <w:sz w:val="25"/>
        </w:rPr>
        <w:t>Tell Us About Other Insurance</w:t>
      </w:r>
      <w:bookmarkEnd w:id="85"/>
    </w:p>
    <w:p>
      <w:r>
        <w:rPr>
          <w:b w:val="0"/>
          <w:i w:val="0"/>
        </w:rPr>
        <w:t>Tell us about any other insurance that might cover the same loss.</w:t>
      </w:r>
    </w:p>
    <w:p>
      <w:bookmarkStart w:id="86" w:name="c_pi_obl_tell_us_about_changes"/>
      <w:r>
        <w:rPr>
          <w:rFonts w:ascii="Georgia" w:hAnsi="Georgia" w:eastAsia="Georgia"/>
          <w:b/>
          <w:i w:val="0"/>
          <w:color w:val="2E5C4E"/>
          <w:sz w:val="25"/>
        </w:rPr>
        <w:t>Tell Us About Changes</w:t>
      </w:r>
      <w:bookmarkEnd w:id="86"/>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7" w:name="c_pi_obl_individual_treatment_of_insured"/>
      <w:r>
        <w:rPr>
          <w:rFonts w:ascii="Georgia" w:hAnsi="Georgia" w:eastAsia="Georgia"/>
          <w:b/>
          <w:i w:val="0"/>
          <w:color w:val="2E5C4E"/>
          <w:sz w:val="25"/>
        </w:rPr>
        <w:t>Individual Treatment of Insured Persons</w:t>
      </w:r>
      <w:bookmarkEnd w:id="87"/>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88" w:name="c_pi_section_conditions"/>
      <w:r>
        <w:rPr>
          <w:rFonts w:ascii="Georgia" w:hAnsi="Georgia" w:eastAsia="Georgia"/>
          <w:b/>
          <w:i w:val="0"/>
          <w:color w:val="1C1915"/>
          <w:sz w:val="32"/>
        </w:rPr>
        <w:t>General Conditions</w:t>
      </w:r>
      <w:bookmarkEnd w:id="88"/>
    </w:p>
    <w:p>
      <w:bookmarkStart w:id="89" w:name="c_pi_cond_insurance_contracts_act"/>
      <w:r>
        <w:rPr>
          <w:rFonts w:ascii="Georgia" w:hAnsi="Georgia" w:eastAsia="Georgia"/>
          <w:b/>
          <w:i w:val="0"/>
          <w:color w:val="2E5C4E"/>
          <w:sz w:val="25"/>
        </w:rPr>
        <w:t>Insurance Contracts Act 1984 (Cth)</w:t>
      </w:r>
      <w:bookmarkEnd w:id="89"/>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0" w:name="c_pi_cond_your_duty_of_disclosure"/>
      <w:r>
        <w:rPr>
          <w:rFonts w:ascii="Georgia" w:hAnsi="Georgia" w:eastAsia="Georgia"/>
          <w:b/>
          <w:i w:val="0"/>
          <w:color w:val="2E5C4E"/>
          <w:sz w:val="25"/>
        </w:rPr>
        <w:t>Your Duty of Disclosure</w:t>
      </w:r>
      <w:bookmarkEnd w:id="90"/>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1" w:name="c_pi_cond_licences_registrations_and_acc"/>
      <w:r>
        <w:rPr>
          <w:rFonts w:ascii="Georgia" w:hAnsi="Georgia" w:eastAsia="Georgia"/>
          <w:b/>
          <w:i w:val="0"/>
          <w:color w:val="2E5C4E"/>
          <w:sz w:val="25"/>
        </w:rPr>
        <w:t>Licences, Registrations and Accreditations</w:t>
      </w:r>
      <w:bookmarkEnd w:id="91"/>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2" w:name="c_pi_cond_compulsory_insurance_requireme"/>
      <w:r>
        <w:rPr>
          <w:rFonts w:ascii="Georgia" w:hAnsi="Georgia" w:eastAsia="Georgia"/>
          <w:b/>
          <w:i w:val="0"/>
          <w:color w:val="2E5C4E"/>
          <w:sz w:val="25"/>
        </w:rPr>
        <w:t>Compulsory Insurance Requirements</w:t>
      </w:r>
      <w:bookmarkEnd w:id="92"/>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3" w:name="c_pi_cond_professional_standards_schemes"/>
      <w:r>
        <w:rPr>
          <w:rFonts w:ascii="Georgia" w:hAnsi="Georgia" w:eastAsia="Georgia"/>
          <w:b/>
          <w:i w:val="0"/>
          <w:color w:val="2E5C4E"/>
          <w:sz w:val="25"/>
        </w:rPr>
        <w:t>Professional Standards Schemes</w:t>
      </w:r>
      <w:bookmarkEnd w:id="93"/>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4" w:name="c_pi_cond_sanctions"/>
      <w:r>
        <w:rPr>
          <w:rFonts w:ascii="Georgia" w:hAnsi="Georgia" w:eastAsia="Georgia"/>
          <w:b/>
          <w:i w:val="0"/>
          <w:color w:val="2E5C4E"/>
          <w:sz w:val="25"/>
        </w:rPr>
        <w:t>Sanctions</w:t>
      </w:r>
      <w:bookmarkEnd w:id="9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5" w:name="c_pi_cond_corporations_act_ss_199a_199b"/>
      <w:r>
        <w:rPr>
          <w:rFonts w:ascii="Georgia" w:hAnsi="Georgia" w:eastAsia="Georgia"/>
          <w:b/>
          <w:i w:val="0"/>
          <w:color w:val="2E5C4E"/>
          <w:sz w:val="25"/>
        </w:rPr>
        <w:t>Corporations Act 2001 (Cth), sections 199A and 199B</w:t>
      </w:r>
      <w:bookmarkEnd w:id="95"/>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6" w:name="c_pi_cond_cancellation"/>
      <w:r>
        <w:rPr>
          <w:rFonts w:ascii="Georgia" w:hAnsi="Georgia" w:eastAsia="Georgia"/>
          <w:b/>
          <w:i w:val="0"/>
          <w:color w:val="2E5C4E"/>
          <w:sz w:val="25"/>
        </w:rPr>
        <w:t>Cancellation</w:t>
      </w:r>
      <w:bookmarkEnd w:id="96"/>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7" w:name="c_pi_cond_governing_law"/>
      <w:r>
        <w:rPr>
          <w:rFonts w:ascii="Georgia" w:hAnsi="Georgia" w:eastAsia="Georgia"/>
          <w:b/>
          <w:i w:val="0"/>
          <w:color w:val="2E5C4E"/>
          <w:sz w:val="25"/>
        </w:rPr>
        <w:t>Governing Law</w:t>
      </w:r>
      <w:bookmarkEnd w:id="97"/>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98" w:name="c_pi_cond_jurisdiction"/>
      <w:r>
        <w:rPr>
          <w:rFonts w:ascii="Georgia" w:hAnsi="Georgia" w:eastAsia="Georgia"/>
          <w:b/>
          <w:i w:val="0"/>
          <w:color w:val="2E5C4E"/>
          <w:sz w:val="25"/>
        </w:rPr>
        <w:t>Jurisdiction</w:t>
      </w:r>
      <w:bookmarkEnd w:id="98"/>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99" w:name="c_pi_cond_gst"/>
      <w:r>
        <w:rPr>
          <w:rFonts w:ascii="Georgia" w:hAnsi="Georgia" w:eastAsia="Georgia"/>
          <w:b/>
          <w:i w:val="0"/>
          <w:color w:val="2E5C4E"/>
          <w:sz w:val="25"/>
        </w:rPr>
        <w:t>GST</w:t>
      </w:r>
      <w:bookmarkEnd w:id="99"/>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0" w:name="c_pi_cond_several_liability"/>
      <w:r>
        <w:rPr>
          <w:rFonts w:ascii="Georgia" w:hAnsi="Georgia" w:eastAsia="Georgia"/>
          <w:b/>
          <w:i w:val="0"/>
          <w:color w:val="2E5C4E"/>
          <w:sz w:val="25"/>
        </w:rPr>
        <w:t>Several Liability</w:t>
      </w:r>
      <w:bookmarkEnd w:id="100"/>
    </w:p>
    <w:p>
      <w:r>
        <w:rPr>
          <w:b w:val="0"/>
          <w:i w:val="0"/>
        </w:rPr>
        <w:t>If more than one insurer is shown in the schedule, each is responsible only for its own share. One insurer's share is not increased by the failure of another to pay.</w:t>
      </w:r>
    </w:p>
    <w:p>
      <w:bookmarkStart w:id="101" w:name="c_pi_cond_assignment"/>
      <w:r>
        <w:rPr>
          <w:rFonts w:ascii="Georgia" w:hAnsi="Georgia" w:eastAsia="Georgia"/>
          <w:b/>
          <w:i w:val="0"/>
          <w:color w:val="2E5C4E"/>
          <w:sz w:val="25"/>
        </w:rPr>
        <w:t>Assignment</w:t>
      </w:r>
      <w:bookmarkEnd w:id="101"/>
    </w:p>
    <w:p>
      <w:r>
        <w:rPr>
          <w:b w:val="0"/>
          <w:i w:val="0"/>
        </w:rPr>
        <w:t>You cannot transfer this policy to another person or entity without our prior written consent.</w:t>
      </w:r>
    </w:p>
    <w:p>
      <w:bookmarkStart w:id="102" w:name="c_pi_cond_entire_agreement"/>
      <w:r>
        <w:rPr>
          <w:rFonts w:ascii="Georgia" w:hAnsi="Georgia" w:eastAsia="Georgia"/>
          <w:b/>
          <w:i w:val="0"/>
          <w:color w:val="2E5C4E"/>
          <w:sz w:val="25"/>
        </w:rPr>
        <w:t>Entire Agreement</w:t>
      </w:r>
      <w:bookmarkEnd w:id="102"/>
    </w:p>
    <w:p>
      <w:r>
        <w:rPr>
          <w:b w:val="0"/>
          <w:i w:val="0"/>
        </w:rPr>
        <w:t>This policy, the schedule, and any endorsements form the entire agreement between you and us about this insurance. No one has authority to change this policy unless the change is recorded in an endorsement.</w:t>
      </w:r>
    </w:p>
    <w:p>
      <w:bookmarkStart w:id="103" w:name="c_pi_cond_disputes_and_complaints"/>
      <w:r>
        <w:rPr>
          <w:rFonts w:ascii="Georgia" w:hAnsi="Georgia" w:eastAsia="Georgia"/>
          <w:b/>
          <w:i w:val="0"/>
          <w:color w:val="2E5C4E"/>
          <w:sz w:val="25"/>
        </w:rPr>
        <w:t>Disputes and Complaints</w:t>
      </w:r>
      <w:bookmarkEnd w:id="103"/>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4" w:name="c_pi_cond_privacy"/>
      <w:r>
        <w:rPr>
          <w:rFonts w:ascii="Georgia" w:hAnsi="Georgia" w:eastAsia="Georgia"/>
          <w:b/>
          <w:i w:val="0"/>
          <w:color w:val="2E5C4E"/>
          <w:sz w:val="25"/>
        </w:rPr>
        <w:t>Privacy</w:t>
      </w:r>
      <w:bookmarkEnd w:id="104"/>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5" w:name="c_pi_cond_headings_and_references"/>
      <w:r>
        <w:rPr>
          <w:rFonts w:ascii="Georgia" w:hAnsi="Georgia" w:eastAsia="Georgia"/>
          <w:b/>
          <w:i w:val="0"/>
          <w:color w:val="2E5C4E"/>
          <w:sz w:val="25"/>
        </w:rPr>
        <w:t>Headings and References</w:t>
      </w:r>
      <w:bookmarkEnd w:id="105"/>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6" w:name="c_pi_claims_how_to_make_a_claim"/>
      <w:r>
        <w:rPr>
          <w:rFonts w:ascii="Georgia" w:hAnsi="Georgia" w:eastAsia="Georgia"/>
          <w:b/>
          <w:i w:val="0"/>
          <w:color w:val="1C1915"/>
          <w:sz w:val="32"/>
        </w:rPr>
        <w:t>How to Make a Claim</w:t>
      </w:r>
      <w:bookmarkEnd w:id="106"/>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7" w:name="c_pi_endorsement_library"/>
      <w:r>
        <w:rPr>
          <w:rFonts w:ascii="Georgia" w:hAnsi="Georgia" w:eastAsia="Georgia"/>
          <w:b/>
          <w:i w:val="0"/>
          <w:color w:val="1C1915"/>
          <w:sz w:val="32"/>
        </w:rPr>
        <w:t>Endorsement Library</w:t>
      </w:r>
      <w:bookmarkEnd w:id="107"/>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08" w:name="c_pi_bsc_library_optional_endorsements"/>
      <w:r>
        <w:rPr>
          <w:rFonts w:ascii="Georgia" w:hAnsi="Georgia" w:eastAsia="Georgia"/>
          <w:b/>
          <w:i w:val="0"/>
          <w:color w:val="1C1915"/>
          <w:sz w:val="32"/>
        </w:rPr>
        <w:t>Building Surveyors and Certifiers Endorsements</w:t>
      </w:r>
      <w:bookmarkEnd w:id="108"/>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109" w:name="c_pi_bsc_end_external_cladding"/>
      <w:r>
        <w:rPr>
          <w:rFonts w:ascii="Georgia" w:hAnsi="Georgia" w:eastAsia="Georgia"/>
          <w:b/>
          <w:i w:val="0"/>
          <w:color w:val="2E5C4E"/>
          <w:sz w:val="25"/>
        </w:rPr>
        <w:t>External Cladding Exclusion</w:t>
      </w:r>
      <w:bookmarkEnd w:id="109"/>
    </w:p>
    <w:p>
      <w:r>
        <w:rPr>
          <w:b w:val="0"/>
          <w:i w:val="0"/>
        </w:rPr>
        <w:t>We do not cover any claim, loss or liability arising from the use, or proposed use, in a building of external wall cladding that is combustible or that does not comply with the building law that applies to the building, including any assessment, approval, certification or inspection of building work that includes that cladding.</w:t>
      </w:r>
    </w:p>
    <w:p>
      <w:r>
        <w:rPr>
          <w:b w:val="0"/>
          <w:i w:val="0"/>
        </w:rPr>
        <w:t>This endorsement applies to building work in a state or territory only to the extent that, and in the terms in which, the law requiring you to hold this insurance in that state or territory permits such an exclusion. It applies as follows: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State or territory</w:t>
            </w:r>
          </w:p>
        </w:tc>
        <w:tc>
          <w:tcPr>
            <w:tcW w:type="dxa" w:w="4873"/>
          </w:tcPr>
          <w:p>
            <w:r/>
            <w:r>
              <w:rPr>
                <w:b w:val="0"/>
                <w:i w:val="0"/>
              </w:rPr>
              <w:t>When this endorsement applies</w:t>
            </w:r>
          </w:p>
        </w:tc>
      </w:tr>
      <w:tr>
        <w:tc>
          <w:tcPr>
            <w:tcW w:type="dxa" w:w="4873"/>
          </w:tcPr>
          <w:p>
            <w:r/>
            <w:r>
              <w:rPr>
                <w:b w:val="0"/>
                <w:i w:val="0"/>
              </w:rPr>
              <w:t>New South Wales</w:t>
            </w:r>
          </w:p>
        </w:tc>
        <w:tc>
          <w:tcPr>
            <w:tcW w:type="dxa" w:w="4873"/>
          </w:tcPr>
          <w:p>
            <w:r/>
            <w:r>
              <w:rPr>
                <w:b w:val="0"/>
                <w:i w:val="0"/>
              </w:rPr>
              <w:t>In the form permitted by the Building and Development Certifiers Regulation 2020 (NSW). [WP REVIEW: set out the permitted form in full once the Regulation is read.]</w:t>
            </w:r>
          </w:p>
        </w:tc>
      </w:tr>
      <w:tr>
        <w:tc>
          <w:tcPr>
            <w:tcW w:type="dxa" w:w="4873"/>
          </w:tcPr>
          <w:p>
            <w:r/>
            <w:r>
              <w:rPr>
                <w:b w:val="0"/>
                <w:i w:val="0"/>
              </w:rPr>
              <w:t>Victoria</w:t>
            </w:r>
          </w:p>
        </w:tc>
        <w:tc>
          <w:tcPr>
            <w:tcW w:type="dxa" w:w="4873"/>
          </w:tcPr>
          <w:p>
            <w:r/>
            <w:r>
              <w:rPr>
                <w:b w:val="0"/>
                <w:i w:val="0"/>
              </w:rPr>
              <w:t>In the form permitted by the current Victorian Ministerial Order. [WP REVIEW: set out the permitted form in full once the Order is read.]</w:t>
            </w:r>
          </w:p>
        </w:tc>
      </w:tr>
      <w:tr>
        <w:tc>
          <w:tcPr>
            <w:tcW w:type="dxa" w:w="4873"/>
          </w:tcPr>
          <w:p>
            <w:r/>
            <w:r>
              <w:rPr>
                <w:b w:val="0"/>
                <w:i w:val="0"/>
              </w:rPr>
              <w:t>Queensland</w:t>
            </w:r>
          </w:p>
        </w:tc>
        <w:tc>
          <w:tcPr>
            <w:tcW w:type="dxa" w:w="4873"/>
          </w:tcPr>
          <w:p>
            <w:r/>
            <w:r>
              <w:rPr>
                <w:b w:val="0"/>
                <w:i w:val="0"/>
              </w:rPr>
              <w:t>Until 30 June 2027, where the Building Regulation 2021 (Qld) permits it. After that date, only to the extent that the law then permits it. [WP REVIEW: confirm the Queensland end date and any exempted licences.]</w:t>
            </w:r>
          </w:p>
        </w:tc>
      </w:tr>
      <w:tr>
        <w:tc>
          <w:tcPr>
            <w:tcW w:type="dxa" w:w="4873"/>
          </w:tcPr>
          <w:p>
            <w:r/>
            <w:r>
              <w:rPr>
                <w:b w:val="0"/>
                <w:i w:val="0"/>
              </w:rPr>
              <w:t>Any other state or territory</w:t>
            </w:r>
          </w:p>
        </w:tc>
        <w:tc>
          <w:tcPr>
            <w:tcW w:type="dxa" w:w="4873"/>
          </w:tcPr>
          <w:p>
            <w:r/>
            <w:r>
              <w:rPr>
                <w:b w:val="0"/>
                <w:i w:val="0"/>
              </w:rPr>
              <w:t>Only if the law there permits an exclusion of this kind on the date the policy period starts.</w:t>
            </w:r>
          </w:p>
        </w:tc>
      </w:tr>
    </w:tbl>
    <w:p>
      <w:bookmarkStart w:id="110" w:name="c_pi_bsc_end_apartment_buildings"/>
      <w:r>
        <w:rPr>
          <w:rFonts w:ascii="Georgia" w:hAnsi="Georgia" w:eastAsia="Georgia"/>
          <w:b/>
          <w:i w:val="0"/>
          <w:color w:val="2E5C4E"/>
          <w:sz w:val="25"/>
        </w:rPr>
        <w:t>Apartment Buildings Sub-limit</w:t>
      </w:r>
      <w:bookmarkEnd w:id="110"/>
    </w:p>
    <w:p>
      <w:r>
        <w:rPr>
          <w:b w:val="0"/>
          <w:i w:val="0"/>
        </w:rPr>
        <w:t>For all claims arising from services for a Class 2 building under the National Construction Code, or for any building of more than three storeys, the most we will pay in total, including defence costs, is the sub-limit shown in the schedule for this endorsement. The sub-limit is part of, and not in addition to, the limit of liability.</w:t>
      </w:r>
    </w:p>
    <w:p>
      <w:r>
        <w:rPr>
          <w:b w:val="0"/>
          <w:i w:val="0"/>
        </w:rPr>
        <w:t>[WP REVIEW: confirm whether the NSW minimum limit for certifiers applies to claims for Class 2 buildings, and so whether this sub-limit can lawfully apply.]</w:t>
      </w:r>
    </w:p>
    <w:p>
      <w:bookmarkStart w:id="111" w:name="c_pi_bsc_end_retirement_run_off"/>
      <w:r>
        <w:rPr>
          <w:rFonts w:ascii="Georgia" w:hAnsi="Georgia" w:eastAsia="Georgia"/>
          <w:b/>
          <w:i w:val="0"/>
          <w:color w:val="2E5C4E"/>
          <w:sz w:val="25"/>
        </w:rPr>
        <w:t>Retirement Run-off</w:t>
      </w:r>
      <w:bookmarkEnd w:id="111"/>
    </w:p>
    <w:p>
      <w:r>
        <w:rPr>
          <w:b w:val="0"/>
          <w:i w:val="0"/>
        </w:rPr>
        <w:t xml:space="preserve">If you permanently cease to practise as a building surveyor or certifier during the policy period, and this endorsement is shown in the schedule, </w:t>
      </w:r>
      <w:hyperlink w:anchor="c_pi_ext_run_off_cover">
        <w:r>
          <w:rPr>
            <w:color w:val="2E5C4E"/>
            <w:u w:val="single"/>
          </w:rPr>
          <w:t xml:space="preserve">the Run-Off Cover extension</w:t>
        </w:r>
      </w:hyperlink>
      <w:r>
        <w:rPr>
          <w:b w:val="0"/>
          <w:i w:val="0"/>
        </w:rPr>
        <w:t xml:space="preserve"> continues for the period shown in the schedule for this endorsement, of up to 10 years after the end of the policy period, on payment of the premium shown in the schedule.</w:t>
      </w:r>
    </w:p>
    <w:p>
      <w:r>
        <w:rPr>
          <w:b w:val="0"/>
          <w:i w:val="0"/>
        </w:rPr>
        <w:t>All other terms of this policy, including the limit of liability, continue to apply to those claims.</w:t>
      </w:r>
    </w:p>
    <w:p>
      <w:r>
        <w:rPr>
          <w:b w:val="0"/>
          <w:i w:val="0"/>
        </w:rPr>
        <w:t>[WP REVIEW: confirm whether NSW or any other state requires run-off cover for retired certifiers as part of compulsory insurance, so that it cannot be an optional priced endorsement.]</w:t>
      </w:r>
    </w:p>
    <w:p>
      <w:bookmarkStart w:id="112" w:name="c_pi_bsc_end_pool_safety_inspections"/>
      <w:r>
        <w:rPr>
          <w:rFonts w:ascii="Georgia" w:hAnsi="Georgia" w:eastAsia="Georgia"/>
          <w:b/>
          <w:i w:val="0"/>
          <w:color w:val="2E5C4E"/>
          <w:sz w:val="25"/>
        </w:rPr>
        <w:t>Pool Safety Inspections</w:t>
      </w:r>
      <w:bookmarkEnd w:id="112"/>
    </w:p>
    <w:p>
      <w:r>
        <w:rPr>
          <w:b w:val="0"/>
          <w:i w:val="0"/>
        </w:rPr>
        <w:t>The inspection and certification of swimming pool and spa barriers under a law of a state or territory are professional services under this policy, if the person who carries them out holds the licence or accreditation that the law requires.</w:t>
      </w:r>
    </w:p>
    <w:p>
      <w:bookmarkStart w:id="113" w:name="c_pi_bsc_end_fire_performance_solutions"/>
      <w:r>
        <w:rPr>
          <w:rFonts w:ascii="Georgia" w:hAnsi="Georgia" w:eastAsia="Georgia"/>
          <w:b/>
          <w:i w:val="0"/>
          <w:color w:val="2E5C4E"/>
          <w:sz w:val="25"/>
        </w:rPr>
        <w:t>Fire Performance Solutions Exclusion</w:t>
      </w:r>
      <w:bookmarkEnd w:id="113"/>
    </w:p>
    <w:p>
      <w:r>
        <w:rPr>
          <w:b w:val="0"/>
          <w:i w:val="0"/>
        </w:rPr>
        <w:t>We do not cover any claim, loss or liability arising from your assessment or approval of a performance solution under the National Construction Code that relates to fire safety, unless the performance solution was prepared by a person registered or accredited to prepare it under the law of the state or territory where the building is located.</w:t>
      </w:r>
    </w:p>
    <w:p>
      <w:bookmarkStart w:id="114" w:name="c_pi_licence_notice"/>
      <w:r>
        <w:rPr>
          <w:rFonts w:ascii="Georgia" w:hAnsi="Georgia" w:eastAsia="Georgia"/>
          <w:b/>
          <w:i w:val="0"/>
          <w:color w:val="1C1915"/>
          <w:sz w:val="32"/>
        </w:rPr>
        <w:t>Licence and Trademark Notice</w:t>
      </w:r>
      <w:bookmarkEnd w:id="114"/>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Cover from First Registration extension: now names the Building and Development Certifiers Act 2018 (NSW) and states that the date of first registration applies in place of the schedule date. Flagged for review.</w:t>
      </w:r>
    </w:p>
    <w:p>
      <w:pPr>
        <w:pStyle w:val="ListBullet"/>
      </w:pPr>
      <w:r>
        <w:rPr>
          <w:b w:val="0"/>
          <w:i w:val="0"/>
        </w:rPr>
        <w:t>External Cladding Exclusion endorsement: now sets out, in a table, when it applies in New South Wales, Victoria, Queensland and elsewhere. The permitted forms for New South Wales and Victoria, and the Queensland end date, are flagged for review.</w:t>
      </w:r>
    </w:p>
    <w:p>
      <w:pPr>
        <w:pStyle w:val="ListBullet"/>
      </w:pPr>
      <w:r>
        <w:rPr>
          <w:b w:val="0"/>
          <w:i w:val="0"/>
        </w:rPr>
        <w:t>Building Regulator Proceedings extension: now says that a formal complaint or proceeding before a building regulator is a claim for which we pay defence costs, and that an earlier investigation or inquiry falls under Inquiry Costs. It states that it applies despite the Statutory Liability extension, so no fine or penalty imposed by the regulator is paid.</w:t>
      </w:r>
    </w:p>
    <w:p>
      <w:pPr>
        <w:pStyle w:val="ListBullet"/>
      </w:pPr>
      <w:r>
        <w:rPr>
          <w:b w:val="0"/>
          <w:i w:val="0"/>
        </w:rPr>
        <w:t>Apartment Buildings Sub-limit and Retirement Run-off endorsements: each is flagged for review of whether a New South Wales requirement means it cannot be an optional priced endorsement.</w:t>
      </w:r>
    </w:p>
    <w:p>
      <w:r>
        <w:rPr>
          <w:b w:val="0"/>
          <w:i/>
          <w:sz w:val="18"/>
        </w:rPr>
        <w:t>Cuttleflow Systems — Open Source Insurance Wording</w:t>
      </w:r>
    </w:p>
    <w:p>
      <w:r>
        <w:rPr>
          <w:rFonts w:ascii="Consolas" w:hAnsi="Consolas" w:eastAsia="Consolas"/>
          <w:b w:val="0"/>
          <w:i w:val="0"/>
          <w:sz w:val="16"/>
        </w:rPr>
        <w:t>2026/PI/0003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2026/PI/0003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BUILDING SURVEYORS AND CERTIFIERS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Surveyors and Certifiers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