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80" w:before="80"/>
        <w:jc w:val="center"/>
      </w:pPr>
      <w:r>
        <w:rPr>
          <w:rFonts w:ascii="Calibri" w:cs="Calibri" w:eastAsia="Calibri" w:hAnsi="Calibri"/>
          <w:b w:val="false"/>
          <w:bCs w:val="false"/>
          <w:i w:val="false"/>
          <w:iCs w:val="false"/>
          <w:color w:val="1C1915"/>
          <w:sz w:val="18"/>
          <w:szCs w:val="18"/>
        </w:rPr>
        <w:t xml:space="preserve">cuttleflow SYSTEMS  ·  33°53′S · 151°16′E · SYDNEY</w:t>
      </w:r>
    </w:p>
    <w:p>
      <w:pPr>
        <w:spacing w:after="500"/>
      </w:pPr>
    </w:p>
    <w:p>
      <w:pPr>
        <w:spacing w:after="200" w:before="200"/>
        <w:jc w:val="center"/>
      </w:pPr>
      <w:r>
        <w:rPr>
          <w:rFonts w:ascii="Calibri" w:cs="Calibri" w:eastAsia="Calibri" w:hAnsi="Calibri"/>
          <w:b/>
          <w:bCs/>
          <w:color w:val="1C1915"/>
          <w:sz w:val="40"/>
          <w:szCs w:val="40"/>
        </w:rPr>
        <w:t xml:space="preserve">MANAGEMENT LIABILITY INSURANCE</w:t>
      </w:r>
    </w:p>
    <w:p>
      <w:pPr>
        <w:spacing w:after="80" w:before="80"/>
        <w:jc w:val="center"/>
      </w:pPr>
      <w:r>
        <w:rPr>
          <w:rFonts w:ascii="Calibri" w:cs="Calibri" w:eastAsia="Calibri" w:hAnsi="Calibri"/>
          <w:b w:val="false"/>
          <w:bCs w:val="false"/>
          <w:i/>
          <w:iCs/>
          <w:color w:val="1C1915"/>
          <w:sz w:val="26"/>
          <w:szCs w:val="26"/>
        </w:rPr>
        <w:t xml:space="preserve">Policy Wording</w:t>
      </w:r>
    </w:p>
    <w:p>
      <w:pPr>
        <w:spacing w:after="400"/>
      </w:pPr>
    </w:p>
    <w:p>
      <w:pPr>
        <w:spacing w:after="80" w:before="80"/>
        <w:jc w:val="center"/>
      </w:pPr>
      <w:r>
        <w:rPr>
          <w:rFonts w:ascii="Calibri" w:cs="Calibri" w:eastAsia="Calibri" w:hAnsi="Calibri"/>
          <w:b/>
          <w:bCs/>
          <w:i w:val="false"/>
          <w:iCs w:val="false"/>
          <w:color w:val="1C1915"/>
          <w:sz w:val="24"/>
          <w:szCs w:val="24"/>
        </w:rPr>
        <w:t xml:space="preserve">Meridian Commons — Open Source Insurance Wording</w:t>
      </w:r>
    </w:p>
    <w:p>
      <w:pPr>
        <w:spacing w:after="80" w:before="80"/>
        <w:jc w:val="center"/>
      </w:pPr>
      <w:r>
        <w:rPr>
          <w:rFonts w:ascii="Calibri" w:cs="Calibri" w:eastAsia="Calibri" w:hAnsi="Calibri"/>
          <w:b w:val="false"/>
          <w:bCs w:val="false"/>
          <w:i w:val="false"/>
          <w:iCs w:val="false"/>
          <w:color w:val="1C1915"/>
          <w:sz w:val="24"/>
          <w:szCs w:val="24"/>
        </w:rPr>
        <w:t xml:space="preserve">v1.2.0-DRAFT · July 2026 · Creative Commons BY 4.0</w:t>
      </w:r>
    </w:p>
    <w:p>
      <w:pPr>
        <w:spacing w:after="80" w:before="80"/>
        <w:jc w:val="center"/>
      </w:pPr>
      <w:r>
        <w:rPr>
          <w:rFonts w:ascii="Calibri" w:cs="Calibri" w:eastAsia="Calibri" w:hAnsi="Calibri"/>
          <w:b w:val="false"/>
          <w:bCs w:val="false"/>
          <w:i w:val="false"/>
          <w:iCs w:val="false"/>
          <w:color w:val="1C1915"/>
          <w:sz w:val="24"/>
          <w:szCs w:val="24"/>
        </w:rPr>
        <w:t xml:space="preserve">Document ref: 2026/ML/0001 · Cuttleflow Systems Pty Ltd</w:t>
      </w:r>
    </w:p>
    <w:p>
      <w:pPr>
        <w:pBdr>
          <w:top w:val="single" w:color="C24E2C" w:sz="12"/>
          <w:bottom w:val="single" w:color="C24E2C" w:sz="12"/>
        </w:pBdr>
        <w:spacing w:after="300" w:before="300"/>
        <w:jc w:val="center"/>
      </w:pPr>
      <w:r>
        <w:rPr>
          <w:rFonts w:ascii="Calibri" w:cs="Calibri" w:eastAsia="Calibri" w:hAnsi="Calibri"/>
          <w:b/>
          <w:bCs/>
          <w:color w:val="1C1915"/>
          <w:sz w:val="24"/>
          <w:szCs w:val="24"/>
        </w:rPr>
        <w:t xml:space="preserve">DRAFT — SUBJECT TO LEGAL REVIEW — NOT FOR USE</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Changes From v1.1.0</w:t>
      </w:r>
    </w:p>
    <w:p>
      <w:pPr>
        <w:spacing w:after="160"/>
        <w:jc w:val="both"/>
      </w:pPr>
      <w:r>
        <w:rPr>
          <w:rFonts w:ascii="Calibri" w:cs="Calibri" w:eastAsia="Calibri" w:hAnsi="Calibri"/>
          <w:i w:val="false"/>
          <w:iCs w:val="false"/>
          <w:sz w:val="21"/>
          <w:szCs w:val="21"/>
        </w:rPr>
        <w:t xml:space="preserve">Provenance remediation (PROV-CMN-002); drafting-only, legal effect preserved. The War exclusion (F.1) was reworded from the NMA-derived peril sequence into house wording; the Sanctions clause (F.2) was reworded to remove the LMA-derived sanctions-triplet formulation, with regime scope unchanged.</w:t>
      </w:r>
    </w:p>
    <w:p>
      <w:pPr>
        <w:pStyle w:val="Heading1"/>
        <w:pBdr>
          <w:bottom w:val="single" w:color="E2D9C8" w:sz="6"/>
        </w:pBdr>
        <w:spacing w:after="160" w:before="360"/>
      </w:pPr>
      <w:r>
        <w:rPr>
          <w:rFonts w:ascii="Calibri" w:cs="Calibri" w:eastAsia="Calibri" w:hAnsi="Calibri"/>
          <w:b/>
          <w:bCs/>
          <w:color w:val="1C1915"/>
          <w:sz w:val="30"/>
          <w:szCs w:val="30"/>
        </w:rPr>
        <w:t xml:space="preserve">Changes From v1.0.0</w:t>
      </w:r>
    </w:p>
    <w:p>
      <w:pPr>
        <w:spacing w:after="160"/>
        <w:jc w:val="both"/>
      </w:pPr>
      <w:r>
        <w:rPr>
          <w:rFonts w:ascii="Calibri" w:cs="Calibri" w:eastAsia="Calibri" w:hAnsi="Calibri"/>
          <w:i w:val="false"/>
          <w:iCs w:val="false"/>
          <w:sz w:val="21"/>
          <w:szCs w:val="21"/>
        </w:rPr>
        <w:t xml:space="preserve">This v1.1.0-DRAFT release remediates the findings of the 2026 pre-publication audit of v1.0.0 (Doc ref 2026/ML/0001, 18 findings: 4 Critical, 7 Major, 4 Minor, 3 Polish). Every Critical and Major finding is remediated below; Minor and Polish findings are remediated where they could be resolved by drafting alone. A full clause-by-clause change register accompanies this document (ML_change_register_v1_1_0.md). This document remains </w:t>
      </w:r>
      <w:r>
        <w:rPr>
          <w:rFonts w:ascii="Calibri" w:cs="Calibri" w:eastAsia="Calibri" w:hAnsi="Calibri"/>
          <w:b/>
          <w:bCs/>
          <w:i w:val="false"/>
          <w:iCs w:val="false"/>
          <w:sz w:val="21"/>
          <w:szCs w:val="21"/>
        </w:rPr>
        <w:t xml:space="preserve">DRAFT — SUBJECT TO LEGAL REVIEW</w:t>
      </w:r>
      <w:r>
        <w:rPr>
          <w:rFonts w:ascii="Calibri" w:cs="Calibri" w:eastAsia="Calibri" w:hAnsi="Calibri"/>
          <w:i w:val="false"/>
          <w:iCs w:val="false"/>
          <w:sz w:val="21"/>
          <w:szCs w:val="21"/>
        </w:rPr>
        <w:t xml:space="preserve"> pending Wording Partner sign-off; open judgement calls are recorded for the Wording Partner.</w:t>
      </w:r>
      <w:r>
        <w:rPr>
          <w:rFonts w:ascii="Calibri" w:cs="Calibri" w:eastAsia="Calibri" w:hAnsi="Calibri"/>
          <w:b/>
          <w:bCs/>
          <w:i w:val="false"/>
          <w:iCs w:val="false"/>
          <w:sz w:val="21"/>
          <w:szCs w:val="21"/>
        </w:rPr>
        <w:t xml:space="preserve"/>
      </w:r>
      <w:r>
        <w:rPr>
          <w:rFonts w:ascii="Calibri" w:cs="Calibri" w:eastAsia="Calibri" w:hAnsi="Calibri"/>
          <w:i w:val="false"/>
          <w:iCs w:val="false"/>
          <w:sz w:val="21"/>
          <w:szCs w:val="21"/>
        </w:rPr>
        <w:t xml:space="preserve"> The praised positions of v1.0.0 — discovery-based crime cover, no insolvency exclusion, and the defence-costs-in-addition endorsement structure — are preserved unchanged.</w:t>
      </w:r>
    </w:p>
    <w:p>
      <w:pPr>
        <w:pStyle w:val="Heading2"/>
        <w:spacing w:after="100" w:before="240"/>
      </w:pPr>
      <w:r>
        <w:rPr>
          <w:rFonts w:ascii="Calibri" w:cs="Calibri" w:eastAsia="Calibri" w:hAnsi="Calibri"/>
          <w:b/>
          <w:bCs/>
          <w:color w:val="1C1915"/>
          <w:sz w:val="24"/>
          <w:szCs w:val="24"/>
        </w:rPr>
        <w:t xml:space="preserve">Critical</w:t>
      </w:r>
    </w:p>
    <w:p>
      <w:pPr>
        <w:spacing w:after="160"/>
        <w:jc w:val="both"/>
      </w:pPr>
      <w:r>
        <w:rPr>
          <w:rFonts w:ascii="Calibri" w:cs="Calibri" w:eastAsia="Calibri" w:hAnsi="Calibri"/>
          <w:b/>
          <w:bCs/>
          <w:i w:val="false"/>
          <w:iCs w:val="false"/>
          <w:sz w:val="21"/>
          <w:szCs w:val="21"/>
        </w:rPr>
        <w:t xml:space="preserve">C1 — D.1 table caveated; s.199A/199B clause added.</w:t>
      </w:r>
      <w:r>
        <w:rPr>
          <w:rFonts w:ascii="Calibri" w:cs="Calibri" w:eastAsia="Calibri" w:hAnsi="Calibri"/>
          <w:i w:val="false"/>
          <w:iCs w:val="false"/>
          <w:sz w:val="21"/>
          <w:szCs w:val="21"/>
        </w:rPr>
        <w:t xml:space="preserve"> The D.1 covered-proceedings table now carries an inline insurability note for every row, with the Work Health and Safety Act 2011 and Corporations Act 2001 rows expressly stating that fines/penalties are not insurable and that cover is defence-costs-only in those cases. D.6 (Uninsurable Penalties) now names the WHS statutory bans and section 199B by number. New D.9 (Corporations Act sections 199A and 199B) conditions defence-cost advancement in civil-penalty and criminal Corporations Act proceedings on an advance-and-repay mechanic tied to the statutory outcome tests, tagged.</w:t>
      </w:r>
    </w:p>
    <w:p>
      <w:pPr>
        <w:spacing w:after="160"/>
        <w:jc w:val="both"/>
      </w:pPr>
      <w:r>
        <w:rPr>
          <w:rFonts w:ascii="Calibri" w:cs="Calibri" w:eastAsia="Calibri" w:hAnsi="Calibri"/>
          <w:b/>
          <w:bCs/>
          <w:i w:val="false"/>
          <w:iCs w:val="false"/>
          <w:sz w:val="21"/>
          <w:szCs w:val="21"/>
        </w:rPr>
        <w:t xml:space="preserve">C2 — F.6 (now F.7) severability carve-out added; reconciled with A.14.</w:t>
      </w:r>
      <w:r>
        <w:rPr>
          <w:rFonts w:ascii="Calibri" w:cs="Calibri" w:eastAsia="Calibri" w:hAnsi="Calibri"/>
          <w:i w:val="false"/>
          <w:iCs w:val="false"/>
          <w:sz w:val="21"/>
          <w:szCs w:val="21"/>
        </w:rPr>
        <w:t xml:space="preserve"> F.7 (Prior and Pending Matters) no longer keys its knowledge test to every insured collectively — it is now keyed to the insured person seeking cover, individually — with an express carve-out confirming it does not affect an insured person who did not personally hold that knowledge. F.7 is stated as a general backstop; A.14 is confirmed as the specific, already-severable test that governs Section A claims in its place.</w:t>
      </w:r>
    </w:p>
    <w:p>
      <w:pPr>
        <w:spacing w:after="160"/>
        <w:jc w:val="both"/>
      </w:pPr>
      <w:r>
        <w:rPr>
          <w:rFonts w:ascii="Calibri" w:cs="Calibri" w:eastAsia="Calibri" w:hAnsi="Calibri"/>
          <w:b/>
          <w:bCs/>
          <w:i w:val="false"/>
          <w:iCs w:val="false"/>
          <w:sz w:val="21"/>
          <w:szCs w:val="21"/>
        </w:rPr>
        <w:t xml:space="preserve">C3 — Crime Loss defined term added for Section E.</w:t>
      </w:r>
      <w:r>
        <w:rPr>
          <w:rFonts w:ascii="Calibri" w:cs="Calibri" w:eastAsia="Calibri" w:hAnsi="Calibri"/>
          <w:i w:val="false"/>
          <w:iCs w:val="false"/>
          <w:sz w:val="21"/>
          <w:szCs w:val="21"/>
        </w:rPr>
        <w:t xml:space="preserve"> A new </w:t>
      </w:r>
      <w:r>
        <w:rPr>
          <w:rFonts w:ascii="Calibri" w:cs="Calibri" w:eastAsia="Calibri" w:hAnsi="Calibri"/>
          <w:b/>
          <w:bCs/>
          <w:i w:val="false"/>
          <w:iCs w:val="false"/>
          <w:sz w:val="21"/>
          <w:szCs w:val="21"/>
        </w:rPr>
        <w:t xml:space="preserve">Crime Loss</w:t>
      </w:r>
      <w:r>
        <w:rPr>
          <w:rFonts w:ascii="Calibri" w:cs="Calibri" w:eastAsia="Calibri" w:hAnsi="Calibri"/>
          <w:i w:val="false"/>
          <w:iCs w:val="false"/>
          <w:sz w:val="21"/>
          <w:szCs w:val="21"/>
        </w:rPr>
        <w:t xml:space="preserve"> definition in Section E's own Additional Definitions table displaces the general </w:t>
      </w:r>
      <w:r>
        <w:rPr>
          <w:rFonts w:ascii="Calibri" w:cs="Calibri" w:eastAsia="Calibri" w:hAnsi="Calibri"/>
          <w:b/>
          <w:bCs/>
          <w:i w:val="false"/>
          <w:iCs w:val="false"/>
          <w:sz w:val="21"/>
          <w:szCs w:val="21"/>
        </w:rPr>
        <w:t xml:space="preserve">Loss</w:t>
      </w:r>
      <w:r>
        <w:rPr>
          <w:rFonts w:ascii="Calibri" w:cs="Calibri" w:eastAsia="Calibri" w:hAnsi="Calibri"/>
          <w:i w:val="false"/>
          <w:iCs w:val="false"/>
          <w:sz w:val="21"/>
          <w:szCs w:val="21"/>
        </w:rPr>
        <w:t xml:space="preserve"> definition (which now expressly states it does not apply to Section E). Crime Loss is used consistently through E.1–E.9. The general </w:t>
      </w:r>
      <w:r>
        <w:rPr>
          <w:rFonts w:ascii="Calibri" w:cs="Calibri" w:eastAsia="Calibri" w:hAnsi="Calibri"/>
          <w:b/>
          <w:bCs/>
          <w:i w:val="false"/>
          <w:iCs w:val="false"/>
          <w:sz w:val="21"/>
          <w:szCs w:val="21"/>
        </w:rPr>
        <w:t xml:space="preserve">Loss</w:t>
      </w:r>
      <w:r>
        <w:rPr>
          <w:rFonts w:ascii="Calibri" w:cs="Calibri" w:eastAsia="Calibri" w:hAnsi="Calibri"/>
          <w:i w:val="false"/>
          <w:iCs w:val="false"/>
          <w:sz w:val="21"/>
          <w:szCs w:val="21"/>
        </w:rPr>
        <w:t xml:space="preserve"> definition and </w:t>
      </w:r>
      <w:r>
        <w:rPr>
          <w:rFonts w:ascii="Calibri" w:cs="Calibri" w:eastAsia="Calibri" w:hAnsi="Calibri"/>
          <w:b/>
          <w:bCs/>
          <w:i w:val="false"/>
          <w:iCs w:val="false"/>
          <w:sz w:val="21"/>
          <w:szCs w:val="21"/>
        </w:rPr>
        <w:t xml:space="preserve">Excess</w:t>
      </w:r>
      <w:r>
        <w:rPr>
          <w:rFonts w:ascii="Calibri" w:cs="Calibri" w:eastAsia="Calibri" w:hAnsi="Calibri"/>
          <w:i w:val="false"/>
          <w:iCs w:val="false"/>
          <w:sz w:val="21"/>
          <w:szCs w:val="21"/>
        </w:rPr>
        <w:t xml:space="preserve"> definition are cross-referenced so the module boundary is explicit.</w:t>
      </w:r>
    </w:p>
    <w:p>
      <w:pPr>
        <w:spacing w:after="160"/>
        <w:jc w:val="both"/>
      </w:pPr>
      <w:r>
        <w:rPr>
          <w:rFonts w:ascii="Calibri" w:cs="Calibri" w:eastAsia="Calibri" w:hAnsi="Calibri"/>
          <w:b/>
          <w:bCs/>
          <w:i w:val="false"/>
          <w:iCs w:val="false"/>
          <w:sz w:val="21"/>
          <w:szCs w:val="21"/>
        </w:rPr>
        <w:t xml:space="preserve">C4 — Distribution and Regulatory Note added.</w:t>
      </w:r>
      <w:r>
        <w:rPr>
          <w:rFonts w:ascii="Calibri" w:cs="Calibri" w:eastAsia="Calibri" w:hAnsi="Calibri"/>
          <w:i w:val="false"/>
          <w:iCs w:val="false"/>
          <w:sz w:val="21"/>
          <w:szCs w:val="21"/>
        </w:rPr>
        <w:t xml:space="preserve"> A new front-matter section states, conservatively, that some SME acquirers of this product may meet the retail client test under section 761G of the Corporations Act 2001 (Cth) / reg 7.1.11, and that issuers must determine retail/wholesale status per client and prepare a TMD/PDS wrapper where the retail test is met before distribution. This wording does not itself declare wholesale-only distribution.</w:t>
      </w:r>
    </w:p>
    <w:p>
      <w:pPr>
        <w:pStyle w:val="Heading2"/>
        <w:spacing w:after="100" w:before="240"/>
      </w:pPr>
      <w:r>
        <w:rPr>
          <w:rFonts w:ascii="Calibri" w:cs="Calibri" w:eastAsia="Calibri" w:hAnsi="Calibri"/>
          <w:b/>
          <w:bCs/>
          <w:color w:val="1C1915"/>
          <w:sz w:val="24"/>
          <w:szCs w:val="24"/>
        </w:rPr>
        <w:t xml:space="preserve">Major</w:t>
      </w:r>
    </w:p>
    <w:p>
      <w:pPr>
        <w:spacing w:after="160"/>
        <w:jc w:val="both"/>
      </w:pPr>
      <w:r>
        <w:rPr>
          <w:rFonts w:ascii="Calibri" w:cs="Calibri" w:eastAsia="Calibri" w:hAnsi="Calibri"/>
          <w:b/>
          <w:bCs/>
          <w:i w:val="false"/>
          <w:iCs w:val="false"/>
          <w:sz w:val="21"/>
          <w:szCs w:val="21"/>
        </w:rPr>
        <w:t xml:space="preserve">M1 — Crime threaded into claims-made machinery.</w:t>
      </w:r>
      <w:r>
        <w:rPr>
          <w:rFonts w:ascii="Calibri" w:cs="Calibri" w:eastAsia="Calibri" w:hAnsi="Calibri"/>
          <w:i w:val="false"/>
          <w:iCs w:val="false"/>
          <w:sz w:val="21"/>
          <w:szCs w:val="21"/>
        </w:rPr>
        <w:t xml:space="preserve"> New H chapeau paragraph extends the cooperate/mitigate/preserve-recovery-rights obligations to a Crime Loss. New E.9 (Extended Discovery Period) gives Section E its own run-off-equivalent (automatic 90 days on non-renewal or cancellation, purchasable extension to 36 months), independent of I.6.</w:t>
      </w:r>
    </w:p>
    <w:p>
      <w:pPr>
        <w:spacing w:after="160"/>
        <w:jc w:val="both"/>
      </w:pPr>
      <w:r>
        <w:rPr>
          <w:rFonts w:ascii="Calibri" w:cs="Calibri" w:eastAsia="Calibri" w:hAnsi="Calibri"/>
          <w:b/>
          <w:bCs/>
          <w:i w:val="false"/>
          <w:iCs w:val="false"/>
          <w:sz w:val="21"/>
          <w:szCs w:val="21"/>
        </w:rPr>
        <w:t xml:space="preserve">M2 — "Insured loss" removed; Crime Loss threaded into Excess.</w:t>
      </w:r>
      <w:r>
        <w:rPr>
          <w:rFonts w:ascii="Calibri" w:cs="Calibri" w:eastAsia="Calibri" w:hAnsi="Calibri"/>
          <w:i w:val="false"/>
          <w:iCs w:val="false"/>
          <w:sz w:val="21"/>
          <w:szCs w:val="21"/>
        </w:rPr>
        <w:t xml:space="preserve"> The undefined "insured loss" term is replaced throughout with the newly-defined </w:t>
      </w:r>
      <w:r>
        <w:rPr>
          <w:rFonts w:ascii="Calibri" w:cs="Calibri" w:eastAsia="Calibri" w:hAnsi="Calibri"/>
          <w:b/>
          <w:bCs/>
          <w:i w:val="false"/>
          <w:iCs w:val="false"/>
          <w:sz w:val="21"/>
          <w:szCs w:val="21"/>
        </w:rPr>
        <w:t xml:space="preserve">Crime Loss</w:t>
      </w:r>
      <w:r>
        <w:rPr>
          <w:rFonts w:ascii="Calibri" w:cs="Calibri" w:eastAsia="Calibri" w:hAnsi="Calibri"/>
          <w:i w:val="false"/>
          <w:iCs w:val="false"/>
          <w:sz w:val="21"/>
          <w:szCs w:val="21"/>
        </w:rPr>
        <w:t xml:space="preserve">. The </w:t>
      </w:r>
      <w:r>
        <w:rPr>
          <w:rFonts w:ascii="Calibri" w:cs="Calibri" w:eastAsia="Calibri" w:hAnsi="Calibri"/>
          <w:b/>
          <w:bCs/>
          <w:i w:val="false"/>
          <w:iCs w:val="false"/>
          <w:sz w:val="21"/>
          <w:szCs w:val="21"/>
        </w:rPr>
        <w:t xml:space="preserve">Excess</w:t>
      </w:r>
      <w:r>
        <w:rPr>
          <w:rFonts w:ascii="Calibri" w:cs="Calibri" w:eastAsia="Calibri" w:hAnsi="Calibri"/>
          <w:i w:val="false"/>
          <w:iCs w:val="false"/>
          <w:sz w:val="21"/>
          <w:szCs w:val="21"/>
        </w:rPr>
        <w:t xml:space="preserve"> definition and the operative G.7 (Excess) clause now both read "each claim or Crime Loss", word-for-word aligned.</w:t>
      </w:r>
    </w:p>
    <w:p>
      <w:pPr>
        <w:spacing w:after="160"/>
        <w:jc w:val="both"/>
      </w:pPr>
      <w:r>
        <w:rPr>
          <w:rFonts w:ascii="Calibri" w:cs="Calibri" w:eastAsia="Calibri" w:hAnsi="Calibri"/>
          <w:b/>
          <w:bCs/>
          <w:i w:val="false"/>
          <w:iCs w:val="false"/>
          <w:sz w:val="21"/>
          <w:szCs w:val="21"/>
        </w:rPr>
        <w:t xml:space="preserve">M3 — G.1 (Section Limits) extended to Crime Losses.</w:t>
      </w:r>
      <w:r>
        <w:rPr>
          <w:rFonts w:ascii="Calibri" w:cs="Calibri" w:eastAsia="Calibri" w:hAnsi="Calibri"/>
          <w:i w:val="false"/>
          <w:iCs w:val="false"/>
          <w:sz w:val="21"/>
          <w:szCs w:val="21"/>
        </w:rPr>
        <w:t xml:space="preserve"> G.1 now reads "all claims, Crime Losses, and defence costs combined".</w:t>
      </w:r>
    </w:p>
    <w:p>
      <w:pPr>
        <w:spacing w:after="160"/>
        <w:jc w:val="both"/>
      </w:pPr>
      <w:r>
        <w:rPr>
          <w:rFonts w:ascii="Calibri" w:cs="Calibri" w:eastAsia="Calibri" w:hAnsi="Calibri"/>
          <w:b/>
          <w:bCs/>
          <w:i w:val="false"/>
          <w:iCs w:val="false"/>
          <w:sz w:val="21"/>
          <w:szCs w:val="21"/>
        </w:rPr>
        <w:t xml:space="preserve">M4 — I.6 renamed Extended Reporting Period.</w:t>
      </w:r>
      <w:r>
        <w:rPr>
          <w:rFonts w:ascii="Calibri" w:cs="Calibri" w:eastAsia="Calibri" w:hAnsi="Calibri"/>
          <w:i w:val="false"/>
          <w:iCs w:val="false"/>
          <w:sz w:val="21"/>
          <w:szCs w:val="21"/>
        </w:rPr>
        <w:t xml:space="preserve"> The claims-made run-off mechanism (I.6) is renamed to remove the collision with Section E's own "discover/discovery" trigger, with an express cross-reference to E.9 for Crime. E01 in the Endorsement Library is renamed to match and now covers both extensions. I.6 also now triggers on cancellation, not only non-renewal, aligning it with the equivalent Crime mechanic and the library-wide settled position.</w:t>
      </w:r>
    </w:p>
    <w:p>
      <w:pPr>
        <w:spacing w:after="160"/>
        <w:jc w:val="both"/>
      </w:pPr>
      <w:r>
        <w:rPr>
          <w:rFonts w:ascii="Calibri" w:cs="Calibri" w:eastAsia="Calibri" w:hAnsi="Calibri"/>
          <w:b/>
          <w:bCs/>
          <w:i w:val="false"/>
          <w:iCs w:val="false"/>
          <w:sz w:val="21"/>
          <w:szCs w:val="21"/>
        </w:rPr>
        <w:t xml:space="preserve">M5 — Section-selection rule extended to limits/excess.</w:t>
      </w:r>
      <w:r>
        <w:rPr>
          <w:rFonts w:ascii="Calibri" w:cs="Calibri" w:eastAsia="Calibri" w:hAnsi="Calibri"/>
          <w:i w:val="false"/>
          <w:iCs w:val="false"/>
          <w:sz w:val="21"/>
          <w:szCs w:val="21"/>
        </w:rPr>
        <w:t xml:space="preserve"> "About This Policy" and G.3 (Sub-Limits) now state that where a claim is covered under more than one section, the limit, sub-limit and excess of the section selected under the "most favourable cover" rule apply, and payment erodes only that section's limit and the overall aggregate.</w:t>
      </w:r>
    </w:p>
    <w:p>
      <w:pPr>
        <w:spacing w:after="160"/>
        <w:jc w:val="both"/>
      </w:pPr>
      <w:r>
        <w:rPr>
          <w:rFonts w:ascii="Calibri" w:cs="Calibri" w:eastAsia="Calibri" w:hAnsi="Calibri"/>
          <w:b/>
          <w:bCs/>
          <w:i w:val="false"/>
          <w:iCs w:val="false"/>
          <w:sz w:val="21"/>
          <w:szCs w:val="21"/>
        </w:rPr>
        <w:t xml:space="preserve">M6 — Retroactive date added.</w:t>
      </w:r>
      <w:r>
        <w:rPr>
          <w:rFonts w:ascii="Calibri" w:cs="Calibri" w:eastAsia="Calibri" w:hAnsi="Calibri"/>
          <w:i w:val="false"/>
          <w:iCs w:val="false"/>
          <w:sz w:val="21"/>
          <w:szCs w:val="21"/>
        </w:rPr>
        <w:t xml:space="preserve"> New </w:t>
      </w:r>
      <w:r>
        <w:rPr>
          <w:rFonts w:ascii="Calibri" w:cs="Calibri" w:eastAsia="Calibri" w:hAnsi="Calibri"/>
          <w:b/>
          <w:bCs/>
          <w:i w:val="false"/>
          <w:iCs w:val="false"/>
          <w:sz w:val="21"/>
          <w:szCs w:val="21"/>
        </w:rPr>
        <w:t xml:space="preserve">Retroactive date</w:t>
      </w:r>
      <w:r>
        <w:rPr>
          <w:rFonts w:ascii="Calibri" w:cs="Calibri" w:eastAsia="Calibri" w:hAnsi="Calibri"/>
          <w:i w:val="false"/>
          <w:iCs w:val="false"/>
          <w:sz w:val="21"/>
          <w:szCs w:val="21"/>
        </w:rPr>
        <w:t xml:space="preserve"> defined term and schedule field, threaded into F.7 (Prior and Pending Matters) and I.5 (Continuous Cover), with an express note that it does not apply to Section E (Crime), which has its own equivalent restriction at E.7.</w:t>
      </w:r>
    </w:p>
    <w:p>
      <w:pPr>
        <w:spacing w:after="160"/>
        <w:jc w:val="both"/>
      </w:pPr>
      <w:r>
        <w:rPr>
          <w:rFonts w:ascii="Calibri" w:cs="Calibri" w:eastAsia="Calibri" w:hAnsi="Calibri"/>
          <w:b/>
          <w:bCs/>
          <w:i w:val="false"/>
          <w:iCs w:val="false"/>
          <w:sz w:val="21"/>
          <w:szCs w:val="21"/>
        </w:rPr>
        <w:t xml:space="preserve">M7 — Orphan excess-waiver paragraph numbered.</w:t>
      </w:r>
      <w:r>
        <w:rPr>
          <w:rFonts w:ascii="Calibri" w:cs="Calibri" w:eastAsia="Calibri" w:hAnsi="Calibri"/>
          <w:i w:val="false"/>
          <w:iCs w:val="false"/>
          <w:sz w:val="21"/>
          <w:szCs w:val="21"/>
        </w:rPr>
        <w:t xml:space="preserve"> The unlabelled paragraph after G.9 is now G.10 (Excess Waivers), cross-referenced from G.7 (Excess).</w:t>
      </w:r>
    </w:p>
    <w:p>
      <w:pPr>
        <w:pStyle w:val="Heading2"/>
        <w:spacing w:after="100" w:before="240"/>
      </w:pPr>
      <w:r>
        <w:rPr>
          <w:rFonts w:ascii="Calibri" w:cs="Calibri" w:eastAsia="Calibri" w:hAnsi="Calibri"/>
          <w:b/>
          <w:bCs/>
          <w:color w:val="1C1915"/>
          <w:sz w:val="24"/>
          <w:szCs w:val="24"/>
        </w:rPr>
        <w:t xml:space="preserve">Minor and Polish (resolved by drafting)</w:t>
      </w:r>
    </w:p>
    <w:p>
      <w:pPr>
        <w:spacing w:after="160"/>
        <w:jc w:val="both"/>
      </w:pPr>
      <w:r>
        <w:rPr>
          <w:rFonts w:ascii="Calibri" w:cs="Calibri" w:eastAsia="Calibri" w:hAnsi="Calibri"/>
          <w:b/>
          <w:bCs/>
          <w:i w:val="false"/>
          <w:iCs w:val="false"/>
          <w:sz w:val="21"/>
          <w:szCs w:val="21"/>
        </w:rPr>
        <w:t xml:space="preserve">N1 —</w:t>
      </w:r>
      <w:r>
        <w:rPr>
          <w:rFonts w:ascii="Calibri" w:cs="Calibri" w:eastAsia="Calibri" w:hAnsi="Calibri"/>
          <w:i w:val="false"/>
          <w:iCs w:val="false"/>
          <w:sz w:val="21"/>
          <w:szCs w:val="21"/>
        </w:rPr>
        <w:t xml:space="preserve"> H.2 now cites Insurance Contracts Act 1984 (Cth) s.40(3) expressly, alongside H.7's existing s.54 citation.</w:t>
      </w:r>
    </w:p>
    <w:p>
      <w:pPr>
        <w:spacing w:after="160"/>
        <w:jc w:val="both"/>
      </w:pPr>
      <w:r>
        <w:rPr>
          <w:rFonts w:ascii="Calibri" w:cs="Calibri" w:eastAsia="Calibri" w:hAnsi="Calibri"/>
          <w:b/>
          <w:bCs/>
          <w:i w:val="false"/>
          <w:iCs w:val="false"/>
          <w:sz w:val="21"/>
          <w:szCs w:val="21"/>
        </w:rPr>
        <w:t xml:space="preserve">N2 —</w:t>
      </w:r>
      <w:r>
        <w:rPr>
          <w:rFonts w:ascii="Calibri" w:cs="Calibri" w:eastAsia="Calibri" w:hAnsi="Calibri"/>
          <w:i w:val="false"/>
          <w:iCs w:val="false"/>
          <w:sz w:val="21"/>
          <w:szCs w:val="21"/>
        </w:rPr>
        <w:t xml:space="preserve"> I.7 (Governing Law) now fixes governing law to a schedule field set at inception, replacing the previous floating test tied to a company's business address, and adds a submission-to-jurisdiction clause.</w:t>
      </w:r>
    </w:p>
    <w:p>
      <w:pPr>
        <w:spacing w:after="160"/>
        <w:jc w:val="both"/>
      </w:pPr>
      <w:r>
        <w:rPr>
          <w:rFonts w:ascii="Calibri" w:cs="Calibri" w:eastAsia="Calibri" w:hAnsi="Calibri"/>
          <w:b/>
          <w:bCs/>
          <w:i w:val="false"/>
          <w:iCs w:val="false"/>
          <w:sz w:val="21"/>
          <w:szCs w:val="21"/>
        </w:rPr>
        <w:t xml:space="preserve">N3 —</w:t>
      </w:r>
      <w:r>
        <w:rPr>
          <w:rFonts w:ascii="Calibri" w:cs="Calibri" w:eastAsia="Calibri" w:hAnsi="Calibri"/>
          <w:i w:val="false"/>
          <w:iCs w:val="false"/>
          <w:sz w:val="21"/>
          <w:szCs w:val="21"/>
        </w:rPr>
        <w:t xml:space="preserve"> A.16 (Related Party Claims) now states the 15% threshold by reference to issued shares or voting rights (aligned with E.6) and defines the alternative "executive or managerial interest" limb.</w:t>
      </w:r>
    </w:p>
    <w:p>
      <w:pPr>
        <w:spacing w:after="160"/>
        <w:jc w:val="both"/>
      </w:pPr>
      <w:r>
        <w:rPr>
          <w:rFonts w:ascii="Calibri" w:cs="Calibri" w:eastAsia="Calibri" w:hAnsi="Calibri"/>
          <w:b/>
          <w:bCs/>
          <w:i w:val="false"/>
          <w:iCs w:val="false"/>
          <w:sz w:val="21"/>
          <w:szCs w:val="21"/>
        </w:rPr>
        <w:t xml:space="preserve">N4 —</w:t>
      </w:r>
      <w:r>
        <w:rPr>
          <w:rFonts w:ascii="Calibri" w:cs="Calibri" w:eastAsia="Calibri" w:hAnsi="Calibri"/>
          <w:i w:val="false"/>
          <w:iCs w:val="false"/>
          <w:sz w:val="21"/>
          <w:szCs w:val="21"/>
        </w:rPr>
        <w:t xml:space="preserve"> Sanctions is now a standalone clause (F.2), separated from the war/terrorism exclusion (F.1), naming the Autonomous Sanctions Act 2011 (Cth) and the Charter of the United Nations Act 1945 (Cth), with a stated order of precedence for an AU-domiciled insurer over the foreign (UN/US/UK/EU) regimes named as a deliberate scope choice.</w:t>
      </w:r>
    </w:p>
    <w:p>
      <w:pPr>
        <w:spacing w:after="160"/>
        <w:jc w:val="both"/>
      </w:pPr>
      <w:r>
        <w:rPr>
          <w:rFonts w:ascii="Calibri" w:cs="Calibri" w:eastAsia="Calibri" w:hAnsi="Calibri"/>
          <w:b/>
          <w:bCs/>
          <w:i w:val="false"/>
          <w:iCs w:val="false"/>
          <w:sz w:val="21"/>
          <w:szCs w:val="21"/>
        </w:rPr>
        <w:t xml:space="preserve">P1 —</w:t>
      </w:r>
      <w:r>
        <w:rPr>
          <w:rFonts w:ascii="Calibri" w:cs="Calibri" w:eastAsia="Calibri" w:hAnsi="Calibri"/>
          <w:i w:val="false"/>
          <w:iCs w:val="false"/>
          <w:sz w:val="21"/>
          <w:szCs w:val="21"/>
        </w:rPr>
        <w:t xml:space="preserve"> This section, a new front-matter </w:t>
      </w:r>
      <w:r>
        <w:rPr>
          <w:rFonts w:ascii="Calibri" w:cs="Calibri" w:eastAsia="Calibri" w:hAnsi="Calibri"/>
          <w:b/>
          <w:bCs/>
          <w:i w:val="false"/>
          <w:iCs w:val="false"/>
          <w:sz w:val="21"/>
          <w:szCs w:val="21"/>
        </w:rPr>
        <w:t xml:space="preserve">Contents and Revision History</w:t>
      </w:r>
      <w:r>
        <w:rPr>
          <w:rFonts w:ascii="Calibri" w:cs="Calibri" w:eastAsia="Calibri" w:hAnsi="Calibri"/>
          <w:i w:val="false"/>
          <w:iCs w:val="false"/>
          <w:sz w:val="21"/>
          <w:szCs w:val="21"/>
        </w:rPr>
        <w:t xml:space="preserve"> page, and the version block together supply the version-history and clause-index the audit recommended.</w:t>
      </w:r>
    </w:p>
    <w:p>
      <w:pPr>
        <w:spacing w:after="160"/>
        <w:jc w:val="both"/>
      </w:pPr>
      <w:r>
        <w:rPr>
          <w:rFonts w:ascii="Calibri" w:cs="Calibri" w:eastAsia="Calibri" w:hAnsi="Calibri"/>
          <w:b/>
          <w:bCs/>
          <w:i w:val="false"/>
          <w:iCs w:val="false"/>
          <w:sz w:val="21"/>
          <w:szCs w:val="21"/>
        </w:rPr>
        <w:t xml:space="preserve">P2 —</w:t>
      </w:r>
      <w:r>
        <w:rPr>
          <w:rFonts w:ascii="Calibri" w:cs="Calibri" w:eastAsia="Calibri" w:hAnsi="Calibri"/>
          <w:i w:val="false"/>
          <w:iCs w:val="false"/>
          <w:sz w:val="21"/>
          <w:szCs w:val="21"/>
        </w:rPr>
        <w:t xml:space="preserve"> Resolved as part of C1 — every D.1 table row now carries an inline insurability note referencing D.6 and (where relevant) D.9.</w:t>
      </w:r>
    </w:p>
    <w:p>
      <w:pPr>
        <w:spacing w:after="160"/>
        <w:jc w:val="both"/>
      </w:pPr>
      <w:r>
        <w:rPr>
          <w:rFonts w:ascii="Calibri" w:cs="Calibri" w:eastAsia="Calibri" w:hAnsi="Calibri"/>
          <w:b/>
          <w:bCs/>
          <w:i w:val="false"/>
          <w:iCs w:val="false"/>
          <w:sz w:val="21"/>
          <w:szCs w:val="21"/>
        </w:rPr>
        <w:t xml:space="preserve">P3 —</w:t>
      </w:r>
      <w:r>
        <w:rPr>
          <w:rFonts w:ascii="Calibri" w:cs="Calibri" w:eastAsia="Calibri" w:hAnsi="Calibri"/>
          <w:i w:val="false"/>
          <w:iCs w:val="false"/>
          <w:sz w:val="21"/>
          <w:szCs w:val="21"/>
        </w:rPr>
        <w:t xml:space="preserve"> Endorsement Library items are now cross-referenced inline at the clauses they modify: E02 at G.4, E04 at D.2, E05 at A.7, E06 at G.5, E07/E08 at Section E.</w:t>
      </w:r>
    </w:p>
    <w:p>
      <w:pPr>
        <w:pStyle w:val="Heading2"/>
        <w:spacing w:after="100" w:before="240"/>
      </w:pPr>
      <w:r>
        <w:rPr>
          <w:rFonts w:ascii="Calibri" w:cs="Calibri" w:eastAsia="Calibri" w:hAnsi="Calibri"/>
          <w:b/>
          <w:bCs/>
          <w:color w:val="1C1915"/>
          <w:sz w:val="24"/>
          <w:szCs w:val="24"/>
        </w:rPr>
        <w:t xml:space="preserve">Additional hygiene fixes (beyond the 18 audit findings)</w:t>
      </w:r>
    </w:p>
    <w:p>
      <w:pPr>
        <w:spacing w:after="160"/>
        <w:jc w:val="both"/>
      </w:pPr>
      <w:r>
        <w:rPr>
          <w:rFonts w:ascii="Calibri" w:cs="Calibri" w:eastAsia="Calibri" w:hAnsi="Calibri"/>
          <w:i w:val="false"/>
          <w:iCs w:val="false"/>
          <w:sz w:val="21"/>
          <w:szCs w:val="21"/>
        </w:rPr>
        <w:t xml:space="preserve">Two low-cost, directly-supported fixes were made while threading the above: a </w:t>
      </w:r>
      <w:r>
        <w:rPr>
          <w:rFonts w:ascii="Calibri" w:cs="Calibri" w:eastAsia="Calibri" w:hAnsi="Calibri"/>
          <w:b/>
          <w:bCs/>
          <w:i w:val="false"/>
          <w:iCs w:val="false"/>
          <w:sz w:val="21"/>
          <w:szCs w:val="21"/>
        </w:rPr>
        <w:t xml:space="preserve">Final adjudication</w:t>
      </w:r>
      <w:r>
        <w:rPr>
          <w:rFonts w:ascii="Calibri" w:cs="Calibri" w:eastAsia="Calibri" w:hAnsi="Calibri"/>
          <w:i w:val="false"/>
          <w:iCs w:val="false"/>
          <w:sz w:val="21"/>
          <w:szCs w:val="21"/>
        </w:rPr>
        <w:t xml:space="preserve"> definition was added (the term was already used, undefined, in A.12, A.13, C.8, D.5 and new D.9); and D.5 (Criminal Conduct) now carries the same severability sentence as A.12/C.8, closing a second instance of the C2 defect pattern that the audit did not separately number. Both are recorded in the change register.</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Contents and Revision History</w:t>
      </w:r>
    </w:p>
    <w:p>
      <w:pPr>
        <w:pStyle w:val="Heading2"/>
        <w:spacing w:after="100" w:before="240"/>
      </w:pPr>
      <w:r>
        <w:rPr>
          <w:rFonts w:ascii="Calibri" w:cs="Calibri" w:eastAsia="Calibri" w:hAnsi="Calibri"/>
          <w:b/>
          <w:bCs/>
          <w:color w:val="1C1915"/>
          <w:sz w:val="24"/>
          <w:szCs w:val="24"/>
        </w:rPr>
        <w:t xml:space="preserve">Contents</w:t>
      </w:r>
    </w:p>
    <w:p>
      <w:pPr>
        <w:pStyle w:val="ListParagraph"/>
        <w:numPr>
          <w:ilvl w:val="0"/>
          <w:numId w:val="2"/>
        </w:numPr>
        <w:spacing w:after="80"/>
      </w:pPr>
      <w:r>
        <w:rPr>
          <w:rFonts w:ascii="Calibri" w:cs="Calibri" w:eastAsia="Calibri" w:hAnsi="Calibri"/>
          <w:i w:val="false"/>
          <w:iCs w:val="false"/>
          <w:sz w:val="21"/>
          <w:szCs w:val="21"/>
        </w:rPr>
        <w:t xml:space="preserve">About This Policy</w:t>
      </w:r>
    </w:p>
    <w:p>
      <w:pPr>
        <w:pStyle w:val="ListParagraph"/>
        <w:numPr>
          <w:ilvl w:val="0"/>
          <w:numId w:val="2"/>
        </w:numPr>
        <w:spacing w:after="80"/>
      </w:pPr>
      <w:r>
        <w:rPr>
          <w:rFonts w:ascii="Calibri" w:cs="Calibri" w:eastAsia="Calibri" w:hAnsi="Calibri"/>
          <w:i w:val="false"/>
          <w:iCs w:val="false"/>
          <w:sz w:val="21"/>
          <w:szCs w:val="21"/>
        </w:rPr>
        <w:t xml:space="preserve">Distribution and Regulatory Note</w:t>
      </w:r>
    </w:p>
    <w:p>
      <w:pPr>
        <w:pStyle w:val="ListParagraph"/>
        <w:numPr>
          <w:ilvl w:val="0"/>
          <w:numId w:val="2"/>
        </w:numPr>
        <w:spacing w:after="80"/>
      </w:pPr>
      <w:r>
        <w:rPr>
          <w:rFonts w:ascii="Calibri" w:cs="Calibri" w:eastAsia="Calibri" w:hAnsi="Calibri"/>
          <w:i w:val="false"/>
          <w:iCs w:val="false"/>
          <w:sz w:val="21"/>
          <w:szCs w:val="21"/>
        </w:rPr>
        <w:t xml:space="preserve">Schedule</w:t>
      </w:r>
    </w:p>
    <w:p>
      <w:pPr>
        <w:pStyle w:val="ListParagraph"/>
        <w:numPr>
          <w:ilvl w:val="0"/>
          <w:numId w:val="2"/>
        </w:numPr>
        <w:spacing w:after="80"/>
      </w:pPr>
      <w:r>
        <w:rPr>
          <w:rFonts w:ascii="Calibri" w:cs="Calibri" w:eastAsia="Calibri" w:hAnsi="Calibri"/>
          <w:i w:val="false"/>
          <w:iCs w:val="false"/>
          <w:sz w:val="21"/>
          <w:szCs w:val="21"/>
        </w:rPr>
        <w:t xml:space="preserve">1 — Definitions</w:t>
      </w:r>
    </w:p>
    <w:p>
      <w:pPr>
        <w:pStyle w:val="ListParagraph"/>
        <w:numPr>
          <w:ilvl w:val="0"/>
          <w:numId w:val="2"/>
        </w:numPr>
        <w:spacing w:after="80"/>
      </w:pPr>
      <w:r>
        <w:rPr>
          <w:rFonts w:ascii="Calibri" w:cs="Calibri" w:eastAsia="Calibri" w:hAnsi="Calibri"/>
          <w:i w:val="false"/>
          <w:iCs w:val="false"/>
          <w:sz w:val="21"/>
          <w:szCs w:val="21"/>
        </w:rPr>
        <w:t xml:space="preserve">Section A — Directors' and Officers' Liability</w:t>
      </w:r>
    </w:p>
    <w:p>
      <w:pPr>
        <w:pStyle w:val="ListParagraph"/>
        <w:numPr>
          <w:ilvl w:val="0"/>
          <w:numId w:val="2"/>
        </w:numPr>
        <w:spacing w:after="80"/>
      </w:pPr>
      <w:r>
        <w:rPr>
          <w:rFonts w:ascii="Calibri" w:cs="Calibri" w:eastAsia="Calibri" w:hAnsi="Calibri"/>
          <w:i w:val="false"/>
          <w:iCs w:val="false"/>
          <w:sz w:val="21"/>
          <w:szCs w:val="21"/>
        </w:rPr>
        <w:t xml:space="preserve">Section B — Company Liability</w:t>
      </w:r>
    </w:p>
    <w:p>
      <w:pPr>
        <w:pStyle w:val="ListParagraph"/>
        <w:numPr>
          <w:ilvl w:val="0"/>
          <w:numId w:val="2"/>
        </w:numPr>
        <w:spacing w:after="80"/>
      </w:pPr>
      <w:r>
        <w:rPr>
          <w:rFonts w:ascii="Calibri" w:cs="Calibri" w:eastAsia="Calibri" w:hAnsi="Calibri"/>
          <w:i w:val="false"/>
          <w:iCs w:val="false"/>
          <w:sz w:val="21"/>
          <w:szCs w:val="21"/>
        </w:rPr>
        <w:t xml:space="preserve">Section C — Employment Practices Liability</w:t>
      </w:r>
    </w:p>
    <w:p>
      <w:pPr>
        <w:pStyle w:val="ListParagraph"/>
        <w:numPr>
          <w:ilvl w:val="0"/>
          <w:numId w:val="2"/>
        </w:numPr>
        <w:spacing w:after="80"/>
      </w:pPr>
      <w:r>
        <w:rPr>
          <w:rFonts w:ascii="Calibri" w:cs="Calibri" w:eastAsia="Calibri" w:hAnsi="Calibri"/>
          <w:i w:val="false"/>
          <w:iCs w:val="false"/>
          <w:sz w:val="21"/>
          <w:szCs w:val="21"/>
        </w:rPr>
        <w:t xml:space="preserve">Section D — Statutory Liability</w:t>
      </w:r>
    </w:p>
    <w:p>
      <w:pPr>
        <w:pStyle w:val="ListParagraph"/>
        <w:numPr>
          <w:ilvl w:val="0"/>
          <w:numId w:val="2"/>
        </w:numPr>
        <w:spacing w:after="80"/>
      </w:pPr>
      <w:r>
        <w:rPr>
          <w:rFonts w:ascii="Calibri" w:cs="Calibri" w:eastAsia="Calibri" w:hAnsi="Calibri"/>
          <w:i w:val="false"/>
          <w:iCs w:val="false"/>
          <w:sz w:val="21"/>
          <w:szCs w:val="21"/>
        </w:rPr>
        <w:t xml:space="preserve">Section E — Crime</w:t>
      </w:r>
    </w:p>
    <w:p>
      <w:pPr>
        <w:pStyle w:val="ListParagraph"/>
        <w:numPr>
          <w:ilvl w:val="0"/>
          <w:numId w:val="2"/>
        </w:numPr>
        <w:spacing w:after="80"/>
      </w:pPr>
      <w:r>
        <w:rPr>
          <w:rFonts w:ascii="Calibri" w:cs="Calibri" w:eastAsia="Calibri" w:hAnsi="Calibri"/>
          <w:i w:val="false"/>
          <w:iCs w:val="false"/>
          <w:sz w:val="21"/>
          <w:szCs w:val="21"/>
        </w:rPr>
        <w:t xml:space="preserve">Section F — General Exclusions</w:t>
      </w:r>
    </w:p>
    <w:p>
      <w:pPr>
        <w:pStyle w:val="ListParagraph"/>
        <w:numPr>
          <w:ilvl w:val="0"/>
          <w:numId w:val="2"/>
        </w:numPr>
        <w:spacing w:after="80"/>
      </w:pPr>
      <w:r>
        <w:rPr>
          <w:rFonts w:ascii="Calibri" w:cs="Calibri" w:eastAsia="Calibri" w:hAnsi="Calibri"/>
          <w:i w:val="false"/>
          <w:iCs w:val="false"/>
          <w:sz w:val="21"/>
          <w:szCs w:val="21"/>
        </w:rPr>
        <w:t xml:space="preserve">Section G — How Much We Will Pay</w:t>
      </w:r>
    </w:p>
    <w:p>
      <w:pPr>
        <w:pStyle w:val="ListParagraph"/>
        <w:numPr>
          <w:ilvl w:val="0"/>
          <w:numId w:val="2"/>
        </w:numPr>
        <w:spacing w:after="80"/>
      </w:pPr>
      <w:r>
        <w:rPr>
          <w:rFonts w:ascii="Calibri" w:cs="Calibri" w:eastAsia="Calibri" w:hAnsi="Calibri"/>
          <w:i w:val="false"/>
          <w:iCs w:val="false"/>
          <w:sz w:val="21"/>
          <w:szCs w:val="21"/>
        </w:rPr>
        <w:t xml:space="preserve">Section H — Your Obligations</w:t>
      </w:r>
    </w:p>
    <w:p>
      <w:pPr>
        <w:pStyle w:val="ListParagraph"/>
        <w:numPr>
          <w:ilvl w:val="0"/>
          <w:numId w:val="2"/>
        </w:numPr>
        <w:spacing w:after="80"/>
      </w:pPr>
      <w:r>
        <w:rPr>
          <w:rFonts w:ascii="Calibri" w:cs="Calibri" w:eastAsia="Calibri" w:hAnsi="Calibri"/>
          <w:i w:val="false"/>
          <w:iCs w:val="false"/>
          <w:sz w:val="21"/>
          <w:szCs w:val="21"/>
        </w:rPr>
        <w:t xml:space="preserve">Section I — General Conditions</w:t>
      </w:r>
    </w:p>
    <w:p>
      <w:pPr>
        <w:pStyle w:val="ListParagraph"/>
        <w:numPr>
          <w:ilvl w:val="0"/>
          <w:numId w:val="2"/>
        </w:numPr>
        <w:spacing w:after="80"/>
      </w:pPr>
      <w:r>
        <w:rPr>
          <w:rFonts w:ascii="Calibri" w:cs="Calibri" w:eastAsia="Calibri" w:hAnsi="Calibri"/>
          <w:i w:val="false"/>
          <w:iCs w:val="false"/>
          <w:sz w:val="21"/>
          <w:szCs w:val="21"/>
        </w:rPr>
        <w:t xml:space="preserve">Endorsement Library</w:t>
      </w:r>
    </w:p>
    <w:p>
      <w:pPr>
        <w:pStyle w:val="Heading2"/>
        <w:spacing w:after="100" w:before="240"/>
      </w:pPr>
      <w:r>
        <w:rPr>
          <w:rFonts w:ascii="Calibri" w:cs="Calibri" w:eastAsia="Calibri" w:hAnsi="Calibri"/>
          <w:b/>
          <w:bCs/>
          <w:color w:val="1C1915"/>
          <w:sz w:val="24"/>
          <w:szCs w:val="24"/>
        </w:rPr>
        <w:t xml:space="preserve">Revision History</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300"/>
        <w:gridCol w:w="7200"/>
      </w:tblGrid>
      <w:tr>
        <w:trPr>
          <w:tblHeader/>
        </w:trPr>
        <w:tc>
          <w:tcPr>
            <w:tcW w:type="dxa" w:w="23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Version</w:t>
            </w:r>
          </w:p>
        </w:tc>
        <w:tc>
          <w:tcPr>
            <w:tcW w:type="dxa" w:w="72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Summary</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v1.0.0 · April 2026</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Initial Meridian Commons publication. Doc ref 2026/ML/0001.</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v1.2.0-DRAFT · July 2026</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Remediation of the 2026 pre-publication audit (18 findings). See "Changes From v1.0.0" above and the companion change register. DRAFT — pending Wording Partner sign-off.</w:t>
            </w:r>
          </w:p>
        </w:tc>
      </w:tr>
    </w:tbl>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About This Policy</w:t>
      </w:r>
    </w:p>
    <w:p>
      <w:pPr>
        <w:spacing w:after="160"/>
        <w:jc w:val="both"/>
      </w:pPr>
      <w:r>
        <w:rPr>
          <w:rFonts w:ascii="Calibri" w:cs="Calibri" w:eastAsia="Calibri" w:hAnsi="Calibri"/>
          <w:i w:val="false"/>
          <w:iCs w:val="false"/>
          <w:sz w:val="21"/>
          <w:szCs w:val="21"/>
        </w:rPr>
        <w:t xml:space="preserve">This is a modular policy. Your schedule shows which sections are operative — you may have all five sections or only some. Each section covers a different type of risk:</w:t>
      </w:r>
    </w:p>
    <w:p>
      <w:pPr>
        <w:pStyle w:val="ListParagraph"/>
        <w:numPr>
          <w:ilvl w:val="0"/>
          <w:numId w:val="2"/>
        </w:numPr>
        <w:spacing w:after="80"/>
      </w:pPr>
      <w:r>
        <w:rPr>
          <w:rFonts w:ascii="Calibri" w:cs="Calibri" w:eastAsia="Calibri" w:hAnsi="Calibri"/>
          <w:i w:val="false"/>
          <w:iCs w:val="false"/>
          <w:sz w:val="21"/>
          <w:szCs w:val="21"/>
        </w:rPr>
        <w:t xml:space="preserve">Section A — Directors' and Officers' Liability</w:t>
      </w:r>
    </w:p>
    <w:p>
      <w:pPr>
        <w:pStyle w:val="ListParagraph"/>
        <w:numPr>
          <w:ilvl w:val="0"/>
          <w:numId w:val="2"/>
        </w:numPr>
        <w:spacing w:after="80"/>
      </w:pPr>
      <w:r>
        <w:rPr>
          <w:rFonts w:ascii="Calibri" w:cs="Calibri" w:eastAsia="Calibri" w:hAnsi="Calibri"/>
          <w:i w:val="false"/>
          <w:iCs w:val="false"/>
          <w:sz w:val="21"/>
          <w:szCs w:val="21"/>
        </w:rPr>
        <w:t xml:space="preserve">Section B — Company Liability</w:t>
      </w:r>
    </w:p>
    <w:p>
      <w:pPr>
        <w:pStyle w:val="ListParagraph"/>
        <w:numPr>
          <w:ilvl w:val="0"/>
          <w:numId w:val="2"/>
        </w:numPr>
        <w:spacing w:after="80"/>
      </w:pPr>
      <w:r>
        <w:rPr>
          <w:rFonts w:ascii="Calibri" w:cs="Calibri" w:eastAsia="Calibri" w:hAnsi="Calibri"/>
          <w:i w:val="false"/>
          <w:iCs w:val="false"/>
          <w:sz w:val="21"/>
          <w:szCs w:val="21"/>
        </w:rPr>
        <w:t xml:space="preserve">Section C — Employment Practices Liability</w:t>
      </w:r>
    </w:p>
    <w:p>
      <w:pPr>
        <w:pStyle w:val="ListParagraph"/>
        <w:numPr>
          <w:ilvl w:val="0"/>
          <w:numId w:val="2"/>
        </w:numPr>
        <w:spacing w:after="80"/>
      </w:pPr>
      <w:r>
        <w:rPr>
          <w:rFonts w:ascii="Calibri" w:cs="Calibri" w:eastAsia="Calibri" w:hAnsi="Calibri"/>
          <w:i w:val="false"/>
          <w:iCs w:val="false"/>
          <w:sz w:val="21"/>
          <w:szCs w:val="21"/>
        </w:rPr>
        <w:t xml:space="preserve">Section D — Statutory Liability</w:t>
      </w:r>
    </w:p>
    <w:p>
      <w:pPr>
        <w:pStyle w:val="ListParagraph"/>
        <w:numPr>
          <w:ilvl w:val="0"/>
          <w:numId w:val="2"/>
        </w:numPr>
        <w:spacing w:after="80"/>
      </w:pPr>
      <w:r>
        <w:rPr>
          <w:rFonts w:ascii="Calibri" w:cs="Calibri" w:eastAsia="Calibri" w:hAnsi="Calibri"/>
          <w:i w:val="false"/>
          <w:iCs w:val="false"/>
          <w:sz w:val="21"/>
          <w:szCs w:val="21"/>
        </w:rPr>
        <w:t xml:space="preserve">Section E — Crime</w:t>
      </w:r>
    </w:p>
    <w:p>
      <w:pPr>
        <w:spacing w:after="160"/>
        <w:jc w:val="both"/>
      </w:pPr>
      <w:r>
        <w:rPr>
          <w:rFonts w:ascii="Calibri" w:cs="Calibri" w:eastAsia="Calibri" w:hAnsi="Calibri"/>
          <w:i w:val="false"/>
          <w:iCs w:val="false"/>
          <w:sz w:val="21"/>
          <w:szCs w:val="21"/>
        </w:rPr>
        <w:t xml:space="preserve">This policy, together with your schedule and any endorsements, forms your contract of insurance with us. Words shown in </w:t>
      </w:r>
      <w:r>
        <w:rPr>
          <w:rFonts w:ascii="Calibri" w:cs="Calibri" w:eastAsia="Calibri" w:hAnsi="Calibri"/>
          <w:b/>
          <w:bCs/>
          <w:i w:val="false"/>
          <w:iCs w:val="false"/>
          <w:sz w:val="21"/>
          <w:szCs w:val="21"/>
        </w:rPr>
        <w:t xml:space="preserve">bold</w:t>
      </w:r>
      <w:r>
        <w:rPr>
          <w:rFonts w:ascii="Calibri" w:cs="Calibri" w:eastAsia="Calibri" w:hAnsi="Calibri"/>
          <w:i w:val="false"/>
          <w:iCs w:val="false"/>
          <w:sz w:val="21"/>
          <w:szCs w:val="21"/>
        </w:rPr>
        <w:t xml:space="preserve"> have special meanings — you will find their definitions in Section 1.</w:t>
      </w:r>
    </w:p>
    <w:p>
      <w:pPr>
        <w:spacing w:after="160"/>
        <w:jc w:val="both"/>
      </w:pPr>
      <w:r>
        <w:rPr>
          <w:rFonts w:ascii="Calibri" w:cs="Calibri" w:eastAsia="Calibri" w:hAnsi="Calibri"/>
          <w:i w:val="false"/>
          <w:iCs w:val="false"/>
          <w:sz w:val="21"/>
          <w:szCs w:val="21"/>
        </w:rPr>
        <w:t xml:space="preserve">If a claim involves more than one section: We will cover it under the section that gives you the most favourable cover. We will not pay twice for the same loss under different sections. </w:t>
      </w:r>
      <w:r>
        <w:rPr>
          <w:rFonts w:ascii="Calibri" w:cs="Calibri" w:eastAsia="Calibri" w:hAnsi="Calibri"/>
          <w:b/>
          <w:bCs/>
          <w:i w:val="false"/>
          <w:iCs w:val="false"/>
          <w:sz w:val="21"/>
          <w:szCs w:val="21"/>
        </w:rPr>
        <w:t xml:space="preserve">The limit of liability, any sub-limit, and the excess of the section selected under this rule are the ones that apply to that claim.</w:t>
      </w:r>
      <w:r>
        <w:rPr>
          <w:rFonts w:ascii="Calibri" w:cs="Calibri" w:eastAsia="Calibri" w:hAnsi="Calibri"/>
          <w:i w:val="false"/>
          <w:iCs w:val="false"/>
          <w:sz w:val="21"/>
          <w:szCs w:val="21"/>
        </w:rPr>
        <w:t xml:space="preserve"> Payment under that section reduces only that section's limit of liability and the overall aggregate limit of liability — not the limit of any other section (see G.3).</w:t>
      </w:r>
    </w:p>
    <w:p>
      <w:pPr>
        <w:spacing w:after="160"/>
        <w:jc w:val="both"/>
      </w:pPr>
      <w:r>
        <w:rPr>
          <w:rFonts w:ascii="Calibri" w:cs="Calibri" w:eastAsia="Calibri" w:hAnsi="Calibri"/>
          <w:i w:val="false"/>
          <w:iCs w:val="false"/>
          <w:sz w:val="21"/>
          <w:szCs w:val="21"/>
        </w:rPr>
        <w:t xml:space="preserve">Before this policy was entered into, you were given written notice, as required by section 40(1) of the Insurance Contracts Act 1984 (Cth), of the effect of section 40(3) (see H.2).</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Distribution and Regulatory Note</w:t>
      </w:r>
    </w:p>
    <w:p>
      <w:pPr>
        <w:spacing w:after="160"/>
        <w:jc w:val="both"/>
      </w:pPr>
      <w:r>
        <w:rPr>
          <w:rFonts w:ascii="Calibri" w:cs="Calibri" w:eastAsia="Calibri" w:hAnsi="Calibri"/>
          <w:b/>
          <w:bCs/>
          <w:i w:val="false"/>
          <w:iCs w:val="false"/>
          <w:sz w:val="21"/>
          <w:szCs w:val="21"/>
        </w:rPr>
        <w:t xml:space="preserve">For issuing insurers and distributors — not an operative policy term.</w:t>
      </w:r>
    </w:p>
    <w:p>
      <w:pPr>
        <w:spacing w:after="160"/>
        <w:jc w:val="both"/>
      </w:pPr>
      <w:r>
        <w:rPr>
          <w:rFonts w:ascii="Calibri" w:cs="Calibri" w:eastAsia="Calibri" w:hAnsi="Calibri"/>
          <w:i w:val="false"/>
          <w:iCs w:val="false"/>
          <w:sz w:val="21"/>
          <w:szCs w:val="21"/>
        </w:rPr>
        <w:t xml:space="preserve">This wording is designed for SME and private-company management liability risks. Some entities that acquire this product may meet the "retail client" test under section 761G of the Corporations Act 2001 (Cth) and regulation 7.1.11 of the Corporations Regulations 2001 (Cth) — broadly, businesses below the employee-count and other thresholds in those provisions — notwithstanding the commercial nature of the risk.</w:t>
      </w:r>
    </w:p>
    <w:p>
      <w:pPr>
        <w:spacing w:after="160"/>
        <w:jc w:val="both"/>
      </w:pPr>
      <w:r>
        <w:rPr>
          <w:rFonts w:ascii="Calibri" w:cs="Calibri" w:eastAsia="Calibri" w:hAnsi="Calibri"/>
          <w:i w:val="false"/>
          <w:iCs w:val="false"/>
          <w:sz w:val="21"/>
          <w:szCs w:val="21"/>
        </w:rPr>
        <w:t xml:space="preserve">Before distributing this wording, the issuing insurer or its authorised distributor should:</w:t>
      </w:r>
    </w:p>
    <w:p>
      <w:pPr>
        <w:pStyle w:val="ListParagraph"/>
        <w:numPr>
          <w:ilvl w:val="0"/>
          <w:numId w:val="2"/>
        </w:numPr>
        <w:spacing w:after="80"/>
      </w:pPr>
      <w:r>
        <w:rPr>
          <w:rFonts w:ascii="Calibri" w:cs="Calibri" w:eastAsia="Calibri" w:hAnsi="Calibri"/>
          <w:i w:val="false"/>
          <w:iCs w:val="false"/>
          <w:sz w:val="21"/>
          <w:szCs w:val="21"/>
        </w:rPr>
        <w:t xml:space="preserve">determine, for each prospective insured, whether the client meets the retail client test;</w:t>
      </w:r>
    </w:p>
    <w:p>
      <w:pPr>
        <w:pStyle w:val="ListParagraph"/>
        <w:numPr>
          <w:ilvl w:val="0"/>
          <w:numId w:val="2"/>
        </w:numPr>
        <w:spacing w:after="80"/>
      </w:pPr>
      <w:r>
        <w:rPr>
          <w:rFonts w:ascii="Calibri" w:cs="Calibri" w:eastAsia="Calibri" w:hAnsi="Calibri"/>
          <w:i w:val="false"/>
          <w:iCs w:val="false"/>
          <w:sz w:val="21"/>
          <w:szCs w:val="21"/>
        </w:rPr>
        <w:t xml:space="preserve">where the retail client test is met, prepare and maintain a Target Market Determination (TMD) and Product Disclosure Statement (PDS) that comply with Part 7.8A and Part 7.9 of the Corporations Act 2001 (Cth) before offering or issuing this product to that client; and</w:t>
      </w:r>
    </w:p>
    <w:p>
      <w:pPr>
        <w:pStyle w:val="ListParagraph"/>
        <w:numPr>
          <w:ilvl w:val="0"/>
          <w:numId w:val="2"/>
        </w:numPr>
        <w:spacing w:after="80"/>
      </w:pPr>
      <w:r>
        <w:rPr>
          <w:rFonts w:ascii="Calibri" w:cs="Calibri" w:eastAsia="Calibri" w:hAnsi="Calibri"/>
          <w:i w:val="false"/>
          <w:iCs w:val="false"/>
          <w:sz w:val="21"/>
          <w:szCs w:val="21"/>
        </w:rPr>
        <w:t xml:space="preserve">where this wording is intended for wholesale clients only, state that restriction expressly in the issuer's own distribution materials and schedule documentation — this wording does not itself impose or declare a wholesale-only restriction.</w:t>
      </w:r>
    </w:p>
    <w:p>
      <w:pPr>
        <w:spacing w:after="160"/>
        <w:jc w:val="both"/>
      </w:pPr>
      <w:r>
        <w:rPr>
          <w:rFonts w:ascii="Calibri" w:cs="Calibri" w:eastAsia="Calibri" w:hAnsi="Calibri"/>
          <w:i w:val="false"/>
          <w:iCs w:val="false"/>
          <w:sz w:val="21"/>
          <w:szCs w:val="21"/>
        </w:rPr>
        <w:t xml:space="preserve">This note is drafting guidance for adopters of the Meridian Commons wording. It is not a substitute for the issuer's own Design and Distribution Obligations compliance program, and not legal advice.</w:t>
      </w:r>
    </w:p>
    <w:p>
      <w:pPr>
        <w:spacing w:after="160"/>
        <w:ind w:left="431"/>
      </w:pPr>
      <w:r>
        <w:rPr>
          <w:rFonts w:ascii="Calibri" w:cs="Calibri" w:eastAsia="Calibri" w:hAnsi="Calibri"/>
          <w:b/>
          <w:bCs/>
          <w:i/>
          <w:iCs/>
          <w:color w:val="1C1915"/>
          <w:sz w:val="20"/>
          <w:szCs w:val="20"/>
        </w:rPr>
        <w:t xml:space="preserve"/>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Schedule</w:t>
      </w:r>
    </w:p>
    <w:p>
      <w:pPr>
        <w:spacing w:after="160"/>
        <w:jc w:val="both"/>
      </w:pPr>
      <w:r>
        <w:rPr>
          <w:rFonts w:ascii="Calibri" w:cs="Calibri" w:eastAsia="Calibri" w:hAnsi="Calibri"/>
          <w:i w:val="false"/>
          <w:iCs w:val="false"/>
          <w:sz w:val="21"/>
          <w:szCs w:val="21"/>
        </w:rPr>
        <w:t xml:space="preserve">(Completed separately for each policy — contains your specific details)</w:t>
      </w:r>
    </w:p>
    <w:p>
      <w:pPr>
        <w:spacing w:after="160"/>
        <w:jc w:val="both"/>
      </w:pPr>
      <w:r>
        <w:rPr>
          <w:rFonts w:ascii="Calibri" w:cs="Calibri" w:eastAsia="Calibri" w:hAnsi="Calibri"/>
          <w:i w:val="false"/>
          <w:iCs w:val="false"/>
          <w:sz w:val="21"/>
          <w:szCs w:val="21"/>
        </w:rPr>
        <w:t xml:space="preserve">The schedule shows:</w:t>
      </w:r>
    </w:p>
    <w:p>
      <w:pPr>
        <w:pStyle w:val="ListParagraph"/>
        <w:numPr>
          <w:ilvl w:val="0"/>
          <w:numId w:val="2"/>
        </w:numPr>
        <w:spacing w:after="80"/>
      </w:pPr>
      <w:r>
        <w:rPr>
          <w:rFonts w:ascii="Calibri" w:cs="Calibri" w:eastAsia="Calibri" w:hAnsi="Calibri"/>
          <w:i w:val="false"/>
          <w:iCs w:val="false"/>
          <w:sz w:val="21"/>
          <w:szCs w:val="21"/>
        </w:rPr>
        <w:t xml:space="preserve">Who is insured (the named insured and any subsidiary)</w:t>
      </w:r>
    </w:p>
    <w:p>
      <w:pPr>
        <w:pStyle w:val="ListParagraph"/>
        <w:numPr>
          <w:ilvl w:val="0"/>
          <w:numId w:val="2"/>
        </w:numPr>
        <w:spacing w:after="80"/>
      </w:pPr>
      <w:r>
        <w:rPr>
          <w:rFonts w:ascii="Calibri" w:cs="Calibri" w:eastAsia="Calibri" w:hAnsi="Calibri"/>
          <w:i w:val="false"/>
          <w:iCs w:val="false"/>
          <w:sz w:val="21"/>
          <w:szCs w:val="21"/>
        </w:rPr>
        <w:t xml:space="preserve">The policy period (start and end dates)</w:t>
      </w:r>
    </w:p>
    <w:p>
      <w:pPr>
        <w:pStyle w:val="ListParagraph"/>
        <w:numPr>
          <w:ilvl w:val="0"/>
          <w:numId w:val="2"/>
        </w:numPr>
        <w:spacing w:after="80"/>
      </w:pPr>
      <w:r>
        <w:rPr>
          <w:rFonts w:ascii="Calibri" w:cs="Calibri" w:eastAsia="Calibri" w:hAnsi="Calibri"/>
          <w:i w:val="false"/>
          <w:iCs w:val="false"/>
          <w:sz w:val="21"/>
          <w:szCs w:val="21"/>
        </w:rPr>
        <w:t xml:space="preserve">Which sections are operative (marked "Included")</w:t>
      </w:r>
    </w:p>
    <w:p>
      <w:pPr>
        <w:pStyle w:val="ListParagraph"/>
        <w:numPr>
          <w:ilvl w:val="0"/>
          <w:numId w:val="2"/>
        </w:numPr>
        <w:spacing w:after="80"/>
      </w:pPr>
      <w:r>
        <w:rPr>
          <w:rFonts w:ascii="Calibri" w:cs="Calibri" w:eastAsia="Calibri" w:hAnsi="Calibri"/>
          <w:i w:val="false"/>
          <w:iCs w:val="false"/>
          <w:sz w:val="21"/>
          <w:szCs w:val="21"/>
        </w:rPr>
        <w:t xml:space="preserve">The retroactive date (if any) for each section (see 1 Definitions — Retroactive date)</w:t>
      </w:r>
    </w:p>
    <w:p>
      <w:pPr>
        <w:pStyle w:val="ListParagraph"/>
        <w:numPr>
          <w:ilvl w:val="0"/>
          <w:numId w:val="2"/>
        </w:numPr>
        <w:spacing w:after="80"/>
      </w:pPr>
      <w:r>
        <w:rPr>
          <w:rFonts w:ascii="Calibri" w:cs="Calibri" w:eastAsia="Calibri" w:hAnsi="Calibri"/>
          <w:i w:val="false"/>
          <w:iCs w:val="false"/>
          <w:sz w:val="21"/>
          <w:szCs w:val="21"/>
        </w:rPr>
        <w:t xml:space="preserve">The prior and pending date, if different from the start of the policy period</w:t>
      </w:r>
    </w:p>
    <w:p>
      <w:pPr>
        <w:pStyle w:val="ListParagraph"/>
        <w:numPr>
          <w:ilvl w:val="0"/>
          <w:numId w:val="2"/>
        </w:numPr>
        <w:spacing w:after="80"/>
      </w:pPr>
      <w:r>
        <w:rPr>
          <w:rFonts w:ascii="Calibri" w:cs="Calibri" w:eastAsia="Calibri" w:hAnsi="Calibri"/>
          <w:i w:val="false"/>
          <w:iCs w:val="false"/>
          <w:sz w:val="21"/>
          <w:szCs w:val="21"/>
        </w:rPr>
        <w:t xml:space="preserve">The limit of liability for each section, and the overall aggregate</w:t>
      </w:r>
    </w:p>
    <w:p>
      <w:pPr>
        <w:pStyle w:val="ListParagraph"/>
        <w:numPr>
          <w:ilvl w:val="0"/>
          <w:numId w:val="2"/>
        </w:numPr>
        <w:spacing w:after="80"/>
      </w:pPr>
      <w:r>
        <w:rPr>
          <w:rFonts w:ascii="Calibri" w:cs="Calibri" w:eastAsia="Calibri" w:hAnsi="Calibri"/>
          <w:i w:val="false"/>
          <w:iCs w:val="false"/>
          <w:sz w:val="21"/>
          <w:szCs w:val="21"/>
        </w:rPr>
        <w:t xml:space="preserve">Any sub-limits</w:t>
      </w:r>
    </w:p>
    <w:p>
      <w:pPr>
        <w:pStyle w:val="ListParagraph"/>
        <w:numPr>
          <w:ilvl w:val="0"/>
          <w:numId w:val="2"/>
        </w:numPr>
        <w:spacing w:after="80"/>
      </w:pPr>
      <w:r>
        <w:rPr>
          <w:rFonts w:ascii="Calibri" w:cs="Calibri" w:eastAsia="Calibri" w:hAnsi="Calibri"/>
          <w:i w:val="false"/>
          <w:iCs w:val="false"/>
          <w:sz w:val="21"/>
          <w:szCs w:val="21"/>
        </w:rPr>
        <w:t xml:space="preserve">The excess for each section</w:t>
      </w:r>
    </w:p>
    <w:p>
      <w:pPr>
        <w:pStyle w:val="ListParagraph"/>
        <w:numPr>
          <w:ilvl w:val="0"/>
          <w:numId w:val="2"/>
        </w:numPr>
        <w:spacing w:after="80"/>
      </w:pPr>
      <w:r>
        <w:rPr>
          <w:rFonts w:ascii="Calibri" w:cs="Calibri" w:eastAsia="Calibri" w:hAnsi="Calibri"/>
          <w:i w:val="false"/>
          <w:iCs w:val="false"/>
          <w:sz w:val="21"/>
          <w:szCs w:val="21"/>
        </w:rPr>
        <w:t xml:space="preserve">The governing law (the Australian state or territory)</w:t>
      </w:r>
    </w:p>
    <w:p>
      <w:pPr>
        <w:pStyle w:val="ListParagraph"/>
        <w:numPr>
          <w:ilvl w:val="0"/>
          <w:numId w:val="2"/>
        </w:numPr>
        <w:spacing w:after="80"/>
      </w:pPr>
      <w:r>
        <w:rPr>
          <w:rFonts w:ascii="Calibri" w:cs="Calibri" w:eastAsia="Calibri" w:hAnsi="Calibri"/>
          <w:i w:val="false"/>
          <w:iCs w:val="false"/>
          <w:sz w:val="21"/>
          <w:szCs w:val="21"/>
        </w:rPr>
        <w:t xml:space="preserve">The premium (including stamp duty and GST)</w:t>
      </w:r>
    </w:p>
    <w:p>
      <w:pPr>
        <w:pStyle w:val="ListParagraph"/>
        <w:numPr>
          <w:ilvl w:val="0"/>
          <w:numId w:val="2"/>
        </w:numPr>
        <w:spacing w:after="80"/>
      </w:pPr>
      <w:r>
        <w:rPr>
          <w:rFonts w:ascii="Calibri" w:cs="Calibri" w:eastAsia="Calibri" w:hAnsi="Calibri"/>
          <w:i w:val="false"/>
          <w:iCs w:val="false"/>
          <w:sz w:val="21"/>
          <w:szCs w:val="21"/>
        </w:rPr>
        <w:t xml:space="preserve">Any endorsements</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1 Definitions</w:t>
      </w:r>
    </w:p>
    <w:p>
      <w:pPr>
        <w:spacing w:after="160"/>
        <w:jc w:val="both"/>
      </w:pPr>
      <w:r>
        <w:rPr>
          <w:rFonts w:ascii="Calibri" w:cs="Calibri" w:eastAsia="Calibri" w:hAnsi="Calibri"/>
          <w:i w:val="false"/>
          <w:iCs w:val="false"/>
          <w:sz w:val="21"/>
          <w:szCs w:val="21"/>
        </w:rPr>
        <w:t xml:space="preserve">These definitions apply throughout this policy, except where a section states its own definition that displaces a general definition for that section (for example, </w:t>
      </w:r>
      <w:r>
        <w:rPr>
          <w:rFonts w:ascii="Calibri" w:cs="Calibri" w:eastAsia="Calibri" w:hAnsi="Calibri"/>
          <w:b/>
          <w:bCs/>
          <w:i w:val="false"/>
          <w:iCs w:val="false"/>
          <w:sz w:val="21"/>
          <w:szCs w:val="21"/>
        </w:rPr>
        <w:t xml:space="preserve">Crime Loss</w:t>
      </w:r>
      <w:r>
        <w:rPr>
          <w:rFonts w:ascii="Calibri" w:cs="Calibri" w:eastAsia="Calibri" w:hAnsi="Calibri"/>
          <w:i w:val="false"/>
          <w:iCs w:val="false"/>
          <w:sz w:val="21"/>
          <w:szCs w:val="21"/>
        </w:rPr>
        <w:t xml:space="preserve"> in Section E displaces </w:t>
      </w:r>
      <w:r>
        <w:rPr>
          <w:rFonts w:ascii="Calibri" w:cs="Calibri" w:eastAsia="Calibri" w:hAnsi="Calibri"/>
          <w:b/>
          <w:bCs/>
          <w:i w:val="false"/>
          <w:iCs w:val="false"/>
          <w:sz w:val="21"/>
          <w:szCs w:val="21"/>
        </w:rPr>
        <w:t xml:space="preserve">Loss</w:t>
      </w:r>
      <w:r>
        <w:rPr>
          <w:rFonts w:ascii="Calibri" w:cs="Calibri" w:eastAsia="Calibri" w:hAnsi="Calibri"/>
          <w:i w:val="false"/>
          <w:iCs w:val="false"/>
          <w:sz w:val="21"/>
          <w:szCs w:val="21"/>
        </w:rPr>
        <w:t xml:space="preserve">). Some sections have additional definitions specific to that section — you will find these at the start of the relevant section.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300"/>
        <w:gridCol w:w="7200"/>
      </w:tblGrid>
      <w:tr>
        <w:trPr>
          <w:tblHeader/>
        </w:trPr>
        <w:tc>
          <w:tcPr>
            <w:tcW w:type="dxa" w:w="23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Term</w:t>
            </w:r>
          </w:p>
        </w:tc>
        <w:tc>
          <w:tcPr>
            <w:tcW w:type="dxa" w:w="72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Meaning</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Claim</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w:t>
            </w:r>
          </w:p>
          <w:p>
            <w:pPr>
              <w:spacing w:after="60"/>
            </w:pPr>
            <w:r>
              <w:rPr>
                <w:rFonts w:ascii="Calibri" w:cs="Calibri" w:eastAsia="Calibri" w:hAnsi="Calibri"/>
                <w:i w:val="false"/>
                <w:iCs w:val="false"/>
                <w:sz w:val="20"/>
                <w:szCs w:val="20"/>
              </w:rPr>
              <w:t xml:space="preserve">(a) any written demand for compensation made against an insured;</w:t>
            </w:r>
          </w:p>
          <w:p>
            <w:pPr>
              <w:spacing w:after="60"/>
            </w:pPr>
            <w:r>
              <w:rPr>
                <w:rFonts w:ascii="Calibri" w:cs="Calibri" w:eastAsia="Calibri" w:hAnsi="Calibri"/>
                <w:i w:val="false"/>
                <w:iCs w:val="false"/>
                <w:sz w:val="20"/>
                <w:szCs w:val="20"/>
              </w:rPr>
              <w:t xml:space="preserve">(b) any writ, summons, cross-claim, or other legal proceeding issued against an insured;</w:t>
            </w:r>
          </w:p>
          <w:p>
            <w:pPr>
              <w:spacing w:after="60"/>
            </w:pPr>
            <w:r>
              <w:rPr>
                <w:rFonts w:ascii="Calibri" w:cs="Calibri" w:eastAsia="Calibri" w:hAnsi="Calibri"/>
                <w:i w:val="false"/>
                <w:iCs w:val="false"/>
                <w:sz w:val="20"/>
                <w:szCs w:val="20"/>
              </w:rPr>
              <w:t xml:space="preserve">(c) any formal investigation, examination, or inquiry by a regulator into the conduct of an insured, where the investigation could result in personal liability or a penalty; or</w:t>
            </w:r>
          </w:p>
          <w:p>
            <w:pPr>
              <w:spacing w:after="60"/>
            </w:pPr>
            <w:r>
              <w:rPr>
                <w:rFonts w:ascii="Calibri" w:cs="Calibri" w:eastAsia="Calibri" w:hAnsi="Calibri"/>
                <w:i w:val="false"/>
                <w:iCs w:val="false"/>
                <w:sz w:val="20"/>
                <w:szCs w:val="20"/>
              </w:rPr>
              <w:t xml:space="preserve">(d) any extradition proceeding, or the execution of a warrant for arrest, against an insured person in connection with a wrongful act.</w:t>
            </w:r>
          </w:p>
          <w:p>
            <w:pPr>
              <w:spacing w:after="60"/>
            </w:pPr>
            <w:r>
              <w:rPr>
                <w:rFonts w:ascii="Calibri" w:cs="Calibri" w:eastAsia="Calibri" w:hAnsi="Calibri"/>
                <w:i w:val="false"/>
                <w:iCs w:val="false"/>
                <w:sz w:val="20"/>
                <w:szCs w:val="20"/>
              </w:rPr>
              <w:t xml:space="preserve">Two or more claims arising from the same wrongful act, or from a series of related wrongful acts, are treated as a single claim first made when the earliest was first made.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Company</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entity named as the named insured in the schedule, and any subsidiary.</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Defence costs</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reasonable legal costs and expenses incurred with our prior written consent in investigating, defending, or settling a claim. We will not unreasonably withhold or delay our consent. We will advance defence costs as they are incurred, before the final outcome of a claim is determined.</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Employee</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any natural person who works for the company under a contract of employment, including permanent, fixed-term, casual, seasonal, and part-time employees. It includes volunteers and interns. It does not include independent contractors.</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Endorsement</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 document attached to this policy that changes its terms.</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Excess</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amount shown in the schedule that you must pay as the first part of each claim or Crime Loss. The excess may differ by section. See G.7 (Excess) and G.10 (Excess Waivers).</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Extended Discovery Period</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period described in E.9, during which you may discover and notify us of a dishonest act that occurred before the end of the policy period, for the purposes of Section E (Crime).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Extended Reporting Period</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period described in I.6, during which you may notify us of a claim arising from a wrongful act that occurred before the end of the policy period, for the purposes of Sections A to D. It does not extend the policy period itself, and does not apply to Section E (Crime) — see Extended Discovery Period.</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Final adjudication</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 judgment, verdict, or order of a court or tribunal of competent jurisdiction that is no longer subject to appeal — whether because the time to appeal has expired, or all appeals have been exhausted, abandoned, or dismissed — and includes a formal admission, guilty plea, or consent order to the same effect. Every reference in this policy to conduct being established, admitted, or determined by final adjudication carries this meaning.</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Insured</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 the company; (b) any insured person; and (c) where the context requires, any employee.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Insured person</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any natural person who is, was, or during the policy period becomes:</w:t>
            </w:r>
          </w:p>
          <w:p>
            <w:pPr>
              <w:spacing w:after="60"/>
            </w:pPr>
            <w:r>
              <w:rPr>
                <w:rFonts w:ascii="Calibri" w:cs="Calibri" w:eastAsia="Calibri" w:hAnsi="Calibri"/>
                <w:i w:val="false"/>
                <w:iCs w:val="false"/>
                <w:sz w:val="20"/>
                <w:szCs w:val="20"/>
              </w:rPr>
              <w:t xml:space="preserve">(a) a director (including a shadow director or de facto director) of the company;</w:t>
            </w:r>
          </w:p>
          <w:p>
            <w:pPr>
              <w:spacing w:after="60"/>
            </w:pPr>
            <w:r>
              <w:rPr>
                <w:rFonts w:ascii="Calibri" w:cs="Calibri" w:eastAsia="Calibri" w:hAnsi="Calibri"/>
                <w:i w:val="false"/>
                <w:iCs w:val="false"/>
                <w:sz w:val="20"/>
                <w:szCs w:val="20"/>
              </w:rPr>
              <w:t xml:space="preserve">(b) an officer of the company (including the company secretary, chief financial officer, chief executive officer, or any person who participates in making decisions that affect the whole or a substantial part of the company's business);</w:t>
            </w:r>
          </w:p>
          <w:p>
            <w:pPr>
              <w:spacing w:after="60"/>
            </w:pPr>
            <w:r>
              <w:rPr>
                <w:rFonts w:ascii="Calibri" w:cs="Calibri" w:eastAsia="Calibri" w:hAnsi="Calibri"/>
                <w:i w:val="false"/>
                <w:iCs w:val="false"/>
                <w:sz w:val="20"/>
                <w:szCs w:val="20"/>
              </w:rPr>
              <w:t xml:space="preserve">(c) a member of a committee of management (for associations and not-for-profits); or</w:t>
            </w:r>
          </w:p>
          <w:p>
            <w:pPr>
              <w:spacing w:after="60"/>
            </w:pPr>
            <w:r>
              <w:rPr>
                <w:rFonts w:ascii="Calibri" w:cs="Calibri" w:eastAsia="Calibri" w:hAnsi="Calibri"/>
                <w:i w:val="false"/>
                <w:iCs w:val="false"/>
                <w:sz w:val="20"/>
                <w:szCs w:val="20"/>
              </w:rPr>
              <w:t xml:space="preserve">(d) an equivalent position in any subsidiary.</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Limit of liability</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amount shown in the schedule for each section, and the overall aggregate limit of liability shown in the schedule, which is the most we will pay across all sections combined during the policy period.</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Loss</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amount an insured becomes legally liable to pay as compensation to a third party, including the claimant's legal costs awarded against the insured, and including defence costs. It does not include taxes or amounts that are not insurable at law. </w:t>
            </w:r>
            <w:r>
              <w:rPr>
                <w:rFonts w:ascii="Calibri" w:cs="Calibri" w:eastAsia="Calibri" w:hAnsi="Calibri"/>
                <w:b/>
                <w:bCs/>
                <w:i w:val="false"/>
                <w:iCs w:val="false"/>
                <w:sz w:val="20"/>
                <w:szCs w:val="20"/>
              </w:rPr>
              <w:t xml:space="preserve">This definition does not apply to Section E (Crime) — see the Crime Loss definition in that Section.</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Named insured</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entity shown as the named insured in the schedule.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Policy period</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period shown in the schedule.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Regulator</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any government body, statutory authority, regulatory agency, or professional body with the power to investigate, examine, or take enforcement action against an insured. It includes ASIC, the OAIC, the ACCC, the ATO, SafeWork (and state and territory equivalents), the Fair Work Commission, the Fair Work Ombudsman, and any equivalent body.</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Retroactive date</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date shown in the schedule (if any) for a section of this policy, before which a wrongful act is not covered under that section. If no retroactive date is shown for a section, cover under that section is not limited by a retroactive date, subject to F.7 (Prior and Pending Matters) and any section-specific prior-knowledge exclusion. </w:t>
            </w:r>
            <w:r>
              <w:rPr>
                <w:rFonts w:ascii="Calibri" w:cs="Calibri" w:eastAsia="Calibri" w:hAnsi="Calibri"/>
                <w:b/>
                <w:bCs/>
                <w:i w:val="false"/>
                <w:iCs w:val="false"/>
                <w:sz w:val="20"/>
                <w:szCs w:val="20"/>
              </w:rPr>
              <w:t xml:space="preserve">The retroactive date does not apply to Section E (Crime)</w:t>
            </w:r>
            <w:r>
              <w:rPr>
                <w:rFonts w:ascii="Calibri" w:cs="Calibri" w:eastAsia="Calibri" w:hAnsi="Calibri"/>
                <w:i w:val="false"/>
                <w:iCs w:val="false"/>
                <w:sz w:val="20"/>
                <w:szCs w:val="20"/>
              </w:rPr>
              <w:t xml:space="preserve"> — see E.7 (Discovered Before This Policy) and E.9 (Extended Discovery Period) for the equivalent restrictions under that Section.</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Schedule</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document titled "Schedule" issued with this policy, as amended by any endorsement.</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Subsidiary</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any entity in which the named insured holds more than 50% of the voting rights, or over which the named insured has effective management control, at the time the relevant wrongful act occurs.</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We / us / our</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insurer named in the schedule.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Wrongful act</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any actual or alleged act, error, omission, misleading statement, breach of duty, breach of trust, or breach of any statutory or regulatory obligation.</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You / your</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company and, where the context requires, any insured person or employee.</w:t>
            </w:r>
          </w:p>
        </w:tc>
      </w:tr>
    </w:tbl>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A Directors' and Officers' Liability</w:t>
      </w:r>
    </w:p>
    <w:p>
      <w:pPr>
        <w:spacing w:after="160"/>
        <w:jc w:val="both"/>
      </w:pPr>
      <w:r>
        <w:rPr>
          <w:rFonts w:ascii="Calibri" w:cs="Calibri" w:eastAsia="Calibri" w:hAnsi="Calibri"/>
          <w:i w:val="false"/>
          <w:iCs w:val="false"/>
          <w:sz w:val="21"/>
          <w:szCs w:val="21"/>
        </w:rPr>
        <w:t xml:space="preserve">This section must be marked "Included" in the schedule to be operative.</w:t>
      </w:r>
    </w:p>
    <w:p>
      <w:pPr>
        <w:pStyle w:val="Heading2"/>
        <w:spacing w:after="100" w:before="240"/>
      </w:pPr>
      <w:r>
        <w:rPr>
          <w:rFonts w:ascii="Calibri" w:cs="Calibri" w:eastAsia="Calibri" w:hAnsi="Calibri"/>
          <w:b/>
          <w:bCs/>
          <w:color w:val="1C1915"/>
          <w:sz w:val="24"/>
          <w:szCs w:val="24"/>
        </w:rPr>
        <w:t xml:space="preserve">What Is Covered</w:t>
      </w:r>
    </w:p>
    <w:p>
      <w:pPr>
        <w:spacing w:after="80" w:before="160"/>
      </w:pPr>
      <w:r>
        <w:rPr>
          <w:rFonts w:ascii="Calibri" w:cs="Calibri" w:eastAsia="Calibri" w:hAnsi="Calibri"/>
          <w:b/>
          <w:bCs/>
          <w:color w:val="1C1915"/>
          <w:sz w:val="22"/>
          <w:szCs w:val="22"/>
        </w:rPr>
        <w:t xml:space="preserve">A.1  Personal Liability of Directors and Officers</w:t>
      </w:r>
    </w:p>
    <w:p>
      <w:pPr>
        <w:spacing w:after="160"/>
        <w:jc w:val="both"/>
      </w:pPr>
      <w:r>
        <w:rPr>
          <w:rFonts w:ascii="Calibri" w:cs="Calibri" w:eastAsia="Calibri" w:hAnsi="Calibri"/>
          <w:i w:val="false"/>
          <w:iCs w:val="false"/>
          <w:sz w:val="21"/>
          <w:szCs w:val="21"/>
        </w:rPr>
        <w:t xml:space="preserve">If a claim is first made against an insured person during the policy period for a wrongful act in their capacity as a director or officer of the company, we will pay:</w:t>
      </w:r>
    </w:p>
    <w:p>
      <w:pPr>
        <w:spacing w:after="100"/>
        <w:ind w:left="431"/>
        <w:jc w:val="both"/>
      </w:pPr>
      <w:r>
        <w:rPr>
          <w:rFonts w:ascii="Calibri" w:cs="Calibri" w:eastAsia="Calibri" w:hAnsi="Calibri"/>
          <w:i w:val="false"/>
          <w:iCs w:val="false"/>
          <w:sz w:val="21"/>
          <w:szCs w:val="21"/>
        </w:rPr>
        <w:t xml:space="preserve">(a) any loss the insured person becomes personally liable to pay; and</w:t>
      </w:r>
    </w:p>
    <w:p>
      <w:pPr>
        <w:spacing w:after="100"/>
        <w:ind w:left="431"/>
        <w:jc w:val="both"/>
      </w:pPr>
      <w:r>
        <w:rPr>
          <w:rFonts w:ascii="Calibri" w:cs="Calibri" w:eastAsia="Calibri" w:hAnsi="Calibri"/>
          <w:i w:val="false"/>
          <w:iCs w:val="false"/>
          <w:sz w:val="21"/>
          <w:szCs w:val="21"/>
        </w:rPr>
        <w:t xml:space="preserve">(b) defence costs.</w:t>
      </w:r>
    </w:p>
    <w:p>
      <w:pPr>
        <w:spacing w:after="80" w:before="160"/>
      </w:pPr>
      <w:r>
        <w:rPr>
          <w:rFonts w:ascii="Calibri" w:cs="Calibri" w:eastAsia="Calibri" w:hAnsi="Calibri"/>
          <w:b/>
          <w:bCs/>
          <w:color w:val="1C1915"/>
          <w:sz w:val="22"/>
          <w:szCs w:val="22"/>
        </w:rPr>
        <w:t xml:space="preserve">A.2  Company Reimbursement</w:t>
      </w:r>
    </w:p>
    <w:p>
      <w:pPr>
        <w:spacing w:after="160"/>
        <w:jc w:val="both"/>
      </w:pPr>
      <w:r>
        <w:rPr>
          <w:rFonts w:ascii="Calibri" w:cs="Calibri" w:eastAsia="Calibri" w:hAnsi="Calibri"/>
          <w:i w:val="false"/>
          <w:iCs w:val="false"/>
          <w:sz w:val="21"/>
          <w:szCs w:val="21"/>
        </w:rPr>
        <w:t xml:space="preserve">Where the company is legally permitted to indemnify an insured person and has done so, we will reimburse the company for the amount it has paid.</w:t>
      </w:r>
    </w:p>
    <w:p>
      <w:pPr>
        <w:spacing w:after="80" w:before="160"/>
      </w:pPr>
      <w:r>
        <w:rPr>
          <w:rFonts w:ascii="Calibri" w:cs="Calibri" w:eastAsia="Calibri" w:hAnsi="Calibri"/>
          <w:b/>
          <w:bCs/>
          <w:color w:val="1C1915"/>
          <w:sz w:val="22"/>
          <w:szCs w:val="22"/>
        </w:rPr>
        <w:t xml:space="preserve">A.3  Direct Payment</w:t>
      </w:r>
    </w:p>
    <w:p>
      <w:pPr>
        <w:spacing w:after="160"/>
        <w:jc w:val="both"/>
      </w:pPr>
      <w:r>
        <w:rPr>
          <w:rFonts w:ascii="Calibri" w:cs="Calibri" w:eastAsia="Calibri" w:hAnsi="Calibri"/>
          <w:i w:val="false"/>
          <w:iCs w:val="false"/>
          <w:sz w:val="21"/>
          <w:szCs w:val="21"/>
        </w:rPr>
        <w:t xml:space="preserve">Where the company is legally permitted to indemnify an insured person but has not done so — for example, because the company is insolvent or has refused to indemnify — we will pay the insured person directly.</w:t>
      </w:r>
    </w:p>
    <w:p>
      <w:pPr>
        <w:spacing w:after="80" w:before="160"/>
      </w:pPr>
      <w:r>
        <w:rPr>
          <w:rFonts w:ascii="Calibri" w:cs="Calibri" w:eastAsia="Calibri" w:hAnsi="Calibri"/>
          <w:b/>
          <w:bCs/>
          <w:color w:val="1C1915"/>
          <w:sz w:val="22"/>
          <w:szCs w:val="22"/>
        </w:rPr>
        <w:t xml:space="preserve">A.4  Non-Indemnifiable Loss</w:t>
      </w:r>
    </w:p>
    <w:p>
      <w:pPr>
        <w:spacing w:after="160"/>
        <w:jc w:val="both"/>
      </w:pPr>
      <w:r>
        <w:rPr>
          <w:rFonts w:ascii="Calibri" w:cs="Calibri" w:eastAsia="Calibri" w:hAnsi="Calibri"/>
          <w:i w:val="false"/>
          <w:iCs w:val="false"/>
          <w:sz w:val="21"/>
          <w:szCs w:val="21"/>
        </w:rPr>
        <w:t xml:space="preserve">Where the company is not legally permitted to indemnify an insured person (for example, where indemnification is prohibited by section 199A of the Corporations Act 2001), we will pay the insured person directly. This cover operates as a separate protection for the insured person and cannot be reduced by the company's actions or financial position.</w:t>
      </w:r>
    </w:p>
    <w:p>
      <w:pPr>
        <w:spacing w:after="160"/>
        <w:jc w:val="both"/>
      </w:pPr>
      <w:r>
        <w:rPr>
          <w:rFonts w:ascii="Calibri" w:cs="Calibri" w:eastAsia="Calibri" w:hAnsi="Calibri"/>
          <w:i w:val="false"/>
          <w:iCs w:val="false"/>
          <w:sz w:val="21"/>
          <w:szCs w:val="21"/>
        </w:rPr>
        <w:t xml:space="preserve">See also D.9 (Corporations Act sections 199A and 199B), which applies wherever a claim under this policy involves a civil penalty order, compensation order, or related proceeding under the Corporations Act 2001.</w:t>
      </w:r>
    </w:p>
    <w:p>
      <w:pPr>
        <w:pStyle w:val="Heading2"/>
        <w:spacing w:after="100" w:before="240"/>
      </w:pPr>
      <w:r>
        <w:rPr>
          <w:rFonts w:ascii="Calibri" w:cs="Calibri" w:eastAsia="Calibri" w:hAnsi="Calibri"/>
          <w:b/>
          <w:bCs/>
          <w:color w:val="1C1915"/>
          <w:sz w:val="24"/>
          <w:szCs w:val="24"/>
        </w:rPr>
        <w:t xml:space="preserve">Extensions — Section A</w:t>
      </w:r>
    </w:p>
    <w:p>
      <w:pPr>
        <w:spacing w:after="80" w:before="160"/>
      </w:pPr>
      <w:r>
        <w:rPr>
          <w:rFonts w:ascii="Calibri" w:cs="Calibri" w:eastAsia="Calibri" w:hAnsi="Calibri"/>
          <w:b/>
          <w:bCs/>
          <w:color w:val="1C1915"/>
          <w:sz w:val="22"/>
          <w:szCs w:val="22"/>
        </w:rPr>
        <w:t xml:space="preserve">A.5  Retired Directors and Officers</w:t>
      </w:r>
    </w:p>
    <w:p>
      <w:pPr>
        <w:spacing w:after="160"/>
        <w:jc w:val="both"/>
      </w:pPr>
      <w:r>
        <w:rPr>
          <w:rFonts w:ascii="Calibri" w:cs="Calibri" w:eastAsia="Calibri" w:hAnsi="Calibri"/>
          <w:i w:val="false"/>
          <w:iCs w:val="false"/>
          <w:sz w:val="21"/>
          <w:szCs w:val="21"/>
        </w:rPr>
        <w:t xml:space="preserve">If an insured person retires, resigns, or otherwise ceases to hold office during or before the policy period, this section continues to cover claims first made against them for up to 72 months after the end of the policy period, at no additional premium — provided:</w:t>
      </w:r>
    </w:p>
    <w:p>
      <w:pPr>
        <w:spacing w:after="100"/>
        <w:ind w:left="431"/>
        <w:jc w:val="both"/>
      </w:pPr>
      <w:r>
        <w:rPr>
          <w:rFonts w:ascii="Calibri" w:cs="Calibri" w:eastAsia="Calibri" w:hAnsi="Calibri"/>
          <w:i w:val="false"/>
          <w:iCs w:val="false"/>
          <w:sz w:val="21"/>
          <w:szCs w:val="21"/>
        </w:rPr>
        <w:t xml:space="preserve">(a) the claim arises from a wrongful act committed while they held office; and</w:t>
      </w:r>
    </w:p>
    <w:p>
      <w:pPr>
        <w:spacing w:after="100"/>
        <w:ind w:left="431"/>
        <w:jc w:val="both"/>
      </w:pPr>
      <w:r>
        <w:rPr>
          <w:rFonts w:ascii="Calibri" w:cs="Calibri" w:eastAsia="Calibri" w:hAnsi="Calibri"/>
          <w:i w:val="false"/>
          <w:iCs w:val="false"/>
          <w:sz w:val="21"/>
          <w:szCs w:val="21"/>
        </w:rPr>
        <w:t xml:space="preserve">(b) no other directors' and officers' insurance is available to them.</w:t>
      </w:r>
    </w:p>
    <w:p>
      <w:pPr>
        <w:spacing w:after="80" w:before="160"/>
      </w:pPr>
      <w:r>
        <w:rPr>
          <w:rFonts w:ascii="Calibri" w:cs="Calibri" w:eastAsia="Calibri" w:hAnsi="Calibri"/>
          <w:b/>
          <w:bCs/>
          <w:color w:val="1C1915"/>
          <w:sz w:val="22"/>
          <w:szCs w:val="22"/>
        </w:rPr>
        <w:t xml:space="preserve">A.6  Spouse, Estate, and Legal Representative</w:t>
      </w:r>
    </w:p>
    <w:p>
      <w:pPr>
        <w:spacing w:after="160"/>
        <w:jc w:val="both"/>
      </w:pPr>
      <w:r>
        <w:rPr>
          <w:rFonts w:ascii="Calibri" w:cs="Calibri" w:eastAsia="Calibri" w:hAnsi="Calibri"/>
          <w:i w:val="false"/>
          <w:iCs w:val="false"/>
          <w:sz w:val="21"/>
          <w:szCs w:val="21"/>
        </w:rPr>
        <w:t xml:space="preserve">If an insured person dies, becomes incapacitated, or is made bankrupt, we will cover their spouse, domestic partner, estate, or legal representative for any claim that would have been covered if made against the insured person personally.</w:t>
      </w:r>
    </w:p>
    <w:p>
      <w:pPr>
        <w:spacing w:after="160"/>
        <w:jc w:val="both"/>
      </w:pPr>
      <w:r>
        <w:rPr>
          <w:rFonts w:ascii="Calibri" w:cs="Calibri" w:eastAsia="Calibri" w:hAnsi="Calibri"/>
          <w:i w:val="false"/>
          <w:iCs w:val="false"/>
          <w:sz w:val="21"/>
          <w:szCs w:val="21"/>
        </w:rPr>
        <w:t xml:space="preserve">We will not cover any wrongful act of the spouse, estate, or legal representative themselves.</w:t>
      </w:r>
    </w:p>
    <w:p>
      <w:pPr>
        <w:spacing w:after="80" w:before="160"/>
      </w:pPr>
      <w:r>
        <w:rPr>
          <w:rFonts w:ascii="Calibri" w:cs="Calibri" w:eastAsia="Calibri" w:hAnsi="Calibri"/>
          <w:b/>
          <w:bCs/>
          <w:color w:val="1C1915"/>
          <w:sz w:val="22"/>
          <w:szCs w:val="22"/>
        </w:rPr>
        <w:t xml:space="preserve">A.7  ASIC Investigation Costs</w:t>
      </w:r>
    </w:p>
    <w:p>
      <w:pPr>
        <w:spacing w:after="160"/>
        <w:jc w:val="both"/>
      </w:pPr>
      <w:r>
        <w:rPr>
          <w:rFonts w:ascii="Calibri" w:cs="Calibri" w:eastAsia="Calibri" w:hAnsi="Calibri"/>
          <w:i w:val="false"/>
          <w:iCs w:val="false"/>
          <w:sz w:val="21"/>
          <w:szCs w:val="21"/>
        </w:rPr>
        <w:t xml:space="preserve">We will pay an insured person's defence costs in responding to a formal investigation or examination by ASIC into their conduct as a director or officer, even if no claim has yet been made.</w:t>
      </w:r>
    </w:p>
    <w:p>
      <w:pPr>
        <w:spacing w:after="160"/>
        <w:jc w:val="both"/>
      </w:pPr>
      <w:r>
        <w:rPr>
          <w:rFonts w:ascii="Calibri" w:cs="Calibri" w:eastAsia="Calibri" w:hAnsi="Calibri"/>
          <w:i w:val="false"/>
          <w:iCs w:val="false"/>
          <w:sz w:val="21"/>
          <w:szCs w:val="21"/>
        </w:rPr>
        <w:t xml:space="preserve">An increased sub-limit for ASIC investigation costs is available by endorsement — see E05.</w:t>
      </w:r>
    </w:p>
    <w:p>
      <w:pPr>
        <w:spacing w:after="80" w:before="160"/>
      </w:pPr>
      <w:r>
        <w:rPr>
          <w:rFonts w:ascii="Calibri" w:cs="Calibri" w:eastAsia="Calibri" w:hAnsi="Calibri"/>
          <w:b/>
          <w:bCs/>
          <w:color w:val="1C1915"/>
          <w:sz w:val="22"/>
          <w:szCs w:val="22"/>
        </w:rPr>
        <w:t xml:space="preserve">A.8  Extradition Costs</w:t>
      </w:r>
    </w:p>
    <w:p>
      <w:pPr>
        <w:spacing w:after="160"/>
        <w:jc w:val="both"/>
      </w:pPr>
      <w:r>
        <w:rPr>
          <w:rFonts w:ascii="Calibri" w:cs="Calibri" w:eastAsia="Calibri" w:hAnsi="Calibri"/>
          <w:i w:val="false"/>
          <w:iCs w:val="false"/>
          <w:sz w:val="21"/>
          <w:szCs w:val="21"/>
        </w:rPr>
        <w:t xml:space="preserve">If an insured person faces extradition proceedings in connection with a wrongful act that would be covered by this section, we will pay their defence costs in resisting extradition.</w:t>
      </w:r>
    </w:p>
    <w:p>
      <w:pPr>
        <w:spacing w:after="80" w:before="160"/>
      </w:pPr>
      <w:r>
        <w:rPr>
          <w:rFonts w:ascii="Calibri" w:cs="Calibri" w:eastAsia="Calibri" w:hAnsi="Calibri"/>
          <w:b/>
          <w:bCs/>
          <w:color w:val="1C1915"/>
          <w:sz w:val="22"/>
          <w:szCs w:val="22"/>
        </w:rPr>
        <w:t xml:space="preserve">A.9  Kidnap Response Costs</w:t>
      </w:r>
    </w:p>
    <w:p>
      <w:pPr>
        <w:spacing w:after="160"/>
        <w:jc w:val="both"/>
      </w:pPr>
      <w:r>
        <w:rPr>
          <w:rFonts w:ascii="Calibri" w:cs="Calibri" w:eastAsia="Calibri" w:hAnsi="Calibri"/>
          <w:i w:val="false"/>
          <w:iCs w:val="false"/>
          <w:sz w:val="21"/>
          <w:szCs w:val="21"/>
        </w:rPr>
        <w:t xml:space="preserve">If an insured person is kidnapped, illegally detained, or subject to a threat of kidnap in connection with their role as a director or officer, we will pay the reasonable costs of crisis response, including negotiation, communication, travel, and security consulting.</w:t>
      </w:r>
    </w:p>
    <w:p>
      <w:pPr>
        <w:spacing w:after="80" w:before="160"/>
      </w:pPr>
      <w:r>
        <w:rPr>
          <w:rFonts w:ascii="Calibri" w:cs="Calibri" w:eastAsia="Calibri" w:hAnsi="Calibri"/>
          <w:b/>
          <w:bCs/>
          <w:color w:val="1C1915"/>
          <w:sz w:val="22"/>
          <w:szCs w:val="22"/>
        </w:rPr>
        <w:t xml:space="preserve">A.10  Loss of Earnings — Attending Proceedings</w:t>
      </w:r>
    </w:p>
    <w:p>
      <w:pPr>
        <w:spacing w:after="160"/>
        <w:jc w:val="both"/>
      </w:pPr>
      <w:r>
        <w:rPr>
          <w:rFonts w:ascii="Calibri" w:cs="Calibri" w:eastAsia="Calibri" w:hAnsi="Calibri"/>
          <w:i w:val="false"/>
          <w:iCs w:val="false"/>
          <w:sz w:val="21"/>
          <w:szCs w:val="21"/>
        </w:rPr>
        <w:t xml:space="preserve">If an insured person is required to attend court, a tribunal, a regulatory hearing, or an examination in connection with a claim covered by this section, we will pay $500 per day or part-day of attendance.</w:t>
      </w:r>
    </w:p>
    <w:p>
      <w:pPr>
        <w:spacing w:after="80" w:before="160"/>
      </w:pPr>
      <w:r>
        <w:rPr>
          <w:rFonts w:ascii="Calibri" w:cs="Calibri" w:eastAsia="Calibri" w:hAnsi="Calibri"/>
          <w:b/>
          <w:bCs/>
          <w:color w:val="1C1915"/>
          <w:sz w:val="22"/>
          <w:szCs w:val="22"/>
        </w:rPr>
        <w:t xml:space="preserve">A.11  Public Relations Costs</w:t>
      </w:r>
    </w:p>
    <w:p>
      <w:pPr>
        <w:spacing w:after="160"/>
        <w:jc w:val="both"/>
      </w:pPr>
      <w:r>
        <w:rPr>
          <w:rFonts w:ascii="Calibri" w:cs="Calibri" w:eastAsia="Calibri" w:hAnsi="Calibri"/>
          <w:i w:val="false"/>
          <w:iCs w:val="false"/>
          <w:sz w:val="21"/>
          <w:szCs w:val="21"/>
        </w:rPr>
        <w:t xml:space="preserve">Following a claim covered by this section, we will pay the reasonable costs of engaging a public relations consultant to protect or restore the personal reputation of an insured person.</w:t>
      </w:r>
    </w:p>
    <w:p>
      <w:pPr>
        <w:pStyle w:val="Heading2"/>
        <w:spacing w:after="100" w:before="240"/>
      </w:pPr>
      <w:r>
        <w:rPr>
          <w:rFonts w:ascii="Calibri" w:cs="Calibri" w:eastAsia="Calibri" w:hAnsi="Calibri"/>
          <w:b/>
          <w:bCs/>
          <w:color w:val="1C1915"/>
          <w:sz w:val="24"/>
          <w:szCs w:val="24"/>
        </w:rPr>
        <w:t xml:space="preserve">What Is Not Covered — Section A</w:t>
      </w:r>
    </w:p>
    <w:p>
      <w:pPr>
        <w:spacing w:after="80" w:before="160"/>
      </w:pPr>
      <w:r>
        <w:rPr>
          <w:rFonts w:ascii="Calibri" w:cs="Calibri" w:eastAsia="Calibri" w:hAnsi="Calibri"/>
          <w:b/>
          <w:bCs/>
          <w:color w:val="1C1915"/>
          <w:sz w:val="22"/>
          <w:szCs w:val="22"/>
        </w:rPr>
        <w:t xml:space="preserve">A.12  Deliberate and Dishonest Acts</w:t>
      </w:r>
    </w:p>
    <w:p>
      <w:pPr>
        <w:spacing w:after="160"/>
        <w:jc w:val="both"/>
      </w:pPr>
      <w:r>
        <w:rPr>
          <w:rFonts w:ascii="Calibri" w:cs="Calibri" w:eastAsia="Calibri" w:hAnsi="Calibri"/>
          <w:i w:val="false"/>
          <w:iCs w:val="false"/>
          <w:sz w:val="21"/>
          <w:szCs w:val="21"/>
        </w:rPr>
        <w:t xml:space="preserve">We do not cover any claim arising from any deliberately dishonest, fraudulent, or criminal act by the insured person — but only after a final adjudication establishes that the conduct occurred.</w:t>
      </w:r>
    </w:p>
    <w:p>
      <w:pPr>
        <w:spacing w:after="160"/>
        <w:jc w:val="both"/>
      </w:pPr>
      <w:r>
        <w:rPr>
          <w:rFonts w:ascii="Calibri" w:cs="Calibri" w:eastAsia="Calibri" w:hAnsi="Calibri"/>
          <w:i w:val="false"/>
          <w:iCs w:val="false"/>
          <w:sz w:val="21"/>
          <w:szCs w:val="21"/>
        </w:rPr>
        <w:t xml:space="preserve">Until that point, we will continue to advance defence costs.</w:t>
      </w:r>
    </w:p>
    <w:p>
      <w:pPr>
        <w:spacing w:after="160"/>
        <w:jc w:val="both"/>
      </w:pPr>
      <w:r>
        <w:rPr>
          <w:rFonts w:ascii="Calibri" w:cs="Calibri" w:eastAsia="Calibri" w:hAnsi="Calibri"/>
          <w:i w:val="false"/>
          <w:iCs w:val="false"/>
          <w:sz w:val="21"/>
          <w:szCs w:val="21"/>
        </w:rPr>
        <w:t xml:space="preserve">We will still cover any insured person who did not personally commit, participate in, or know about the dishonest conduct. This protection applies separately to each insured person.</w:t>
      </w:r>
    </w:p>
    <w:p>
      <w:pPr>
        <w:spacing w:after="80" w:before="160"/>
      </w:pPr>
      <w:r>
        <w:rPr>
          <w:rFonts w:ascii="Calibri" w:cs="Calibri" w:eastAsia="Calibri" w:hAnsi="Calibri"/>
          <w:b/>
          <w:bCs/>
          <w:color w:val="1C1915"/>
          <w:sz w:val="22"/>
          <w:szCs w:val="22"/>
        </w:rPr>
        <w:t xml:space="preserve">A.13  Personal Profit</w:t>
      </w:r>
    </w:p>
    <w:p>
      <w:pPr>
        <w:spacing w:after="160"/>
        <w:jc w:val="both"/>
      </w:pPr>
      <w:r>
        <w:rPr>
          <w:rFonts w:ascii="Calibri" w:cs="Calibri" w:eastAsia="Calibri" w:hAnsi="Calibri"/>
          <w:i w:val="false"/>
          <w:iCs w:val="false"/>
          <w:sz w:val="21"/>
          <w:szCs w:val="21"/>
        </w:rPr>
        <w:t xml:space="preserve">We do not cover any claim for any personal profit or advantage gained by the insured person to which they were not legally entitled — but only after a final adjudication establishes that the profit was improperly gained.</w:t>
      </w:r>
    </w:p>
    <w:p>
      <w:pPr>
        <w:spacing w:after="80" w:before="160"/>
      </w:pPr>
      <w:r>
        <w:rPr>
          <w:rFonts w:ascii="Calibri" w:cs="Calibri" w:eastAsia="Calibri" w:hAnsi="Calibri"/>
          <w:b/>
          <w:bCs/>
          <w:color w:val="1C1915"/>
          <w:sz w:val="22"/>
          <w:szCs w:val="22"/>
        </w:rPr>
        <w:t xml:space="preserve">A.14  Prior Known Matters</w:t>
      </w:r>
    </w:p>
    <w:p>
      <w:pPr>
        <w:spacing w:after="160"/>
        <w:jc w:val="both"/>
      </w:pPr>
      <w:r>
        <w:rPr>
          <w:rFonts w:ascii="Calibri" w:cs="Calibri" w:eastAsia="Calibri" w:hAnsi="Calibri"/>
          <w:i w:val="false"/>
          <w:iCs w:val="false"/>
          <w:sz w:val="21"/>
          <w:szCs w:val="21"/>
        </w:rPr>
        <w:t xml:space="preserve">We do not cover any claim arising from any wrongful act, fact, matter, or circumstance that the insured person knew about before the start of this policy period and that they knew, or ought reasonably to have known, might lead to a claim.</w:t>
      </w:r>
    </w:p>
    <w:p>
      <w:pPr>
        <w:spacing w:after="160"/>
        <w:jc w:val="both"/>
      </w:pPr>
      <w:r>
        <w:rPr>
          <w:rFonts w:ascii="Calibri" w:cs="Calibri" w:eastAsia="Calibri" w:hAnsi="Calibri"/>
          <w:i w:val="false"/>
          <w:iCs w:val="false"/>
          <w:sz w:val="21"/>
          <w:szCs w:val="21"/>
        </w:rPr>
        <w:t xml:space="preserve">This is the prior-knowledge test that applies to claims under this Section A. F.7 (Prior and Pending Matters) is a general backstop exclusion for other sections and for pending proceedings generally, and does not impose a different knowledge test on a Section A claim.</w:t>
      </w:r>
    </w:p>
    <w:p>
      <w:pPr>
        <w:spacing w:after="80" w:before="160"/>
      </w:pPr>
      <w:r>
        <w:rPr>
          <w:rFonts w:ascii="Calibri" w:cs="Calibri" w:eastAsia="Calibri" w:hAnsi="Calibri"/>
          <w:b/>
          <w:bCs/>
          <w:color w:val="1C1915"/>
          <w:sz w:val="22"/>
          <w:szCs w:val="22"/>
        </w:rPr>
        <w:t xml:space="preserve">A.15  Insured Versus Insured</w:t>
      </w:r>
    </w:p>
    <w:p>
      <w:pPr>
        <w:spacing w:after="160"/>
        <w:jc w:val="both"/>
      </w:pPr>
      <w:r>
        <w:rPr>
          <w:rFonts w:ascii="Calibri" w:cs="Calibri" w:eastAsia="Calibri" w:hAnsi="Calibri"/>
          <w:i w:val="false"/>
          <w:iCs w:val="false"/>
          <w:sz w:val="21"/>
          <w:szCs w:val="21"/>
        </w:rPr>
        <w:t xml:space="preserve">We do not cover any claim brought by one insured against another insured — except for:</w:t>
      </w:r>
    </w:p>
    <w:p>
      <w:pPr>
        <w:spacing w:after="100"/>
        <w:ind w:left="431"/>
        <w:jc w:val="both"/>
      </w:pPr>
      <w:r>
        <w:rPr>
          <w:rFonts w:ascii="Calibri" w:cs="Calibri" w:eastAsia="Calibri" w:hAnsi="Calibri"/>
          <w:i w:val="false"/>
          <w:iCs w:val="false"/>
          <w:sz w:val="21"/>
          <w:szCs w:val="21"/>
        </w:rPr>
        <w:t xml:space="preserve">(a) a claim brought by a liquidator, administrator, receiver, or similar officer appointed to the company;</w:t>
      </w:r>
    </w:p>
    <w:p>
      <w:pPr>
        <w:spacing w:after="100"/>
        <w:ind w:left="431"/>
        <w:jc w:val="both"/>
      </w:pPr>
      <w:r>
        <w:rPr>
          <w:rFonts w:ascii="Calibri" w:cs="Calibri" w:eastAsia="Calibri" w:hAnsi="Calibri"/>
          <w:i w:val="false"/>
          <w:iCs w:val="false"/>
          <w:sz w:val="21"/>
          <w:szCs w:val="21"/>
        </w:rPr>
        <w:t xml:space="preserve">(b) a claim brought by an employee under Section C (Employment Practices Liability);</w:t>
      </w:r>
    </w:p>
    <w:p>
      <w:pPr>
        <w:spacing w:after="100"/>
        <w:ind w:left="431"/>
        <w:jc w:val="both"/>
      </w:pPr>
      <w:r>
        <w:rPr>
          <w:rFonts w:ascii="Calibri" w:cs="Calibri" w:eastAsia="Calibri" w:hAnsi="Calibri"/>
          <w:i w:val="false"/>
          <w:iCs w:val="false"/>
          <w:sz w:val="21"/>
          <w:szCs w:val="21"/>
        </w:rPr>
        <w:t xml:space="preserve">(c) a claim brought by a whistleblower; and</w:t>
      </w:r>
    </w:p>
    <w:p>
      <w:pPr>
        <w:spacing w:after="100"/>
        <w:ind w:left="431"/>
        <w:jc w:val="both"/>
      </w:pPr>
      <w:r>
        <w:rPr>
          <w:rFonts w:ascii="Calibri" w:cs="Calibri" w:eastAsia="Calibri" w:hAnsi="Calibri"/>
          <w:i w:val="false"/>
          <w:iCs w:val="false"/>
          <w:sz w:val="21"/>
          <w:szCs w:val="21"/>
        </w:rPr>
        <w:t xml:space="preserve">(d) a cross-claim or contribution claim arising from a claim first brought by an independent third party.</w:t>
      </w:r>
    </w:p>
    <w:p>
      <w:pPr>
        <w:spacing w:after="80" w:before="160"/>
      </w:pPr>
      <w:r>
        <w:rPr>
          <w:rFonts w:ascii="Calibri" w:cs="Calibri" w:eastAsia="Calibri" w:hAnsi="Calibri"/>
          <w:b/>
          <w:bCs/>
          <w:color w:val="1C1915"/>
          <w:sz w:val="22"/>
          <w:szCs w:val="22"/>
        </w:rPr>
        <w:t xml:space="preserve">A.16  Related Party Claims</w:t>
      </w:r>
    </w:p>
    <w:p>
      <w:pPr>
        <w:spacing w:after="160"/>
        <w:jc w:val="both"/>
      </w:pPr>
      <w:r>
        <w:rPr>
          <w:rFonts w:ascii="Calibri" w:cs="Calibri" w:eastAsia="Calibri" w:hAnsi="Calibri"/>
          <w:i w:val="false"/>
          <w:iCs w:val="false"/>
          <w:sz w:val="21"/>
          <w:szCs w:val="21"/>
        </w:rPr>
        <w:t xml:space="preserve">We do not cover any claim brought by any person or entity that holds:</w:t>
      </w:r>
    </w:p>
    <w:p>
      <w:pPr>
        <w:spacing w:after="100"/>
        <w:ind w:left="431"/>
        <w:jc w:val="both"/>
      </w:pPr>
      <w:r>
        <w:rPr>
          <w:rFonts w:ascii="Calibri" w:cs="Calibri" w:eastAsia="Calibri" w:hAnsi="Calibri"/>
          <w:i w:val="false"/>
          <w:iCs w:val="false"/>
          <w:sz w:val="21"/>
          <w:szCs w:val="21"/>
        </w:rPr>
        <w:t xml:space="preserve">(a) 15% or more of the issued shares or voting rights of the company or any parent entity (the same threshold used in E.6 for Section E); or</w:t>
      </w:r>
    </w:p>
    <w:p>
      <w:pPr>
        <w:spacing w:after="100"/>
        <w:ind w:left="431"/>
        <w:jc w:val="both"/>
      </w:pPr>
      <w:r>
        <w:rPr>
          <w:rFonts w:ascii="Calibri" w:cs="Calibri" w:eastAsia="Calibri" w:hAnsi="Calibri"/>
          <w:i w:val="false"/>
          <w:iCs w:val="false"/>
          <w:sz w:val="21"/>
          <w:szCs w:val="21"/>
        </w:rPr>
        <w:t xml:space="preserve">(b) an equivalent executive or managerial interest — meaning a role, such as chief executive officer or an equivalent position, carrying authority to control or materially influence the company's management —</w:t>
      </w:r>
    </w:p>
    <w:p>
      <w:pPr>
        <w:spacing w:after="160"/>
        <w:jc w:val="both"/>
      </w:pPr>
      <w:r>
        <w:rPr>
          <w:rFonts w:ascii="Calibri" w:cs="Calibri" w:eastAsia="Calibri" w:hAnsi="Calibri"/>
          <w:i w:val="false"/>
          <w:iCs w:val="false"/>
          <w:sz w:val="21"/>
          <w:szCs w:val="21"/>
        </w:rPr>
        <w:t xml:space="preserve">except where the claim is brought by a liquidator, administrator, or receiver of that entity.</w:t>
      </w:r>
    </w:p>
    <w:p>
      <w:pPr>
        <w:spacing w:after="80" w:before="160"/>
      </w:pPr>
      <w:r>
        <w:rPr>
          <w:rFonts w:ascii="Calibri" w:cs="Calibri" w:eastAsia="Calibri" w:hAnsi="Calibri"/>
          <w:b/>
          <w:bCs/>
          <w:color w:val="1C1915"/>
          <w:sz w:val="22"/>
          <w:szCs w:val="22"/>
        </w:rPr>
        <w:t xml:space="preserve">A.17  Major Transactions</w:t>
      </w:r>
    </w:p>
    <w:p>
      <w:pPr>
        <w:spacing w:after="160"/>
        <w:jc w:val="both"/>
      </w:pPr>
      <w:r>
        <w:rPr>
          <w:rFonts w:ascii="Calibri" w:cs="Calibri" w:eastAsia="Calibri" w:hAnsi="Calibri"/>
          <w:i w:val="false"/>
          <w:iCs w:val="false"/>
          <w:sz w:val="21"/>
          <w:szCs w:val="21"/>
        </w:rPr>
        <w:t xml:space="preserve">We do not cover any claim arising from an initial public offering, listing on a securities exchange, scheme of arrangement, or any transaction that results in the company becoming a publicly listed entity.</w:t>
      </w:r>
    </w:p>
    <w:p>
      <w:pPr>
        <w:spacing w:after="160"/>
        <w:jc w:val="both"/>
      </w:pPr>
      <w:r>
        <w:rPr>
          <w:rFonts w:ascii="Calibri" w:cs="Calibri" w:eastAsia="Calibri" w:hAnsi="Calibri"/>
          <w:i w:val="false"/>
          <w:iCs w:val="false"/>
          <w:sz w:val="21"/>
          <w:szCs w:val="21"/>
        </w:rPr>
        <w:t xml:space="preserve">This exposure requires a listed company D&amp;O policy.</w:t>
      </w:r>
    </w:p>
    <w:p>
      <w:pPr>
        <w:spacing w:after="80" w:before="160"/>
      </w:pPr>
      <w:r>
        <w:rPr>
          <w:rFonts w:ascii="Calibri" w:cs="Calibri" w:eastAsia="Calibri" w:hAnsi="Calibri"/>
          <w:b/>
          <w:bCs/>
          <w:color w:val="1C1915"/>
          <w:sz w:val="22"/>
          <w:szCs w:val="22"/>
        </w:rPr>
        <w:t xml:space="preserve">A.18  Professional Services</w:t>
      </w:r>
    </w:p>
    <w:p>
      <w:pPr>
        <w:spacing w:after="160"/>
        <w:jc w:val="both"/>
      </w:pPr>
      <w:r>
        <w:rPr>
          <w:rFonts w:ascii="Calibri" w:cs="Calibri" w:eastAsia="Calibri" w:hAnsi="Calibri"/>
          <w:i w:val="false"/>
          <w:iCs w:val="false"/>
          <w:sz w:val="21"/>
          <w:szCs w:val="21"/>
        </w:rPr>
        <w:t xml:space="preserve">We do not cover any claim for errors or omissions in professional advice or services provided by the insured person to a third-party client. This is the domain of professional indemnity insurance.</w:t>
      </w:r>
    </w:p>
    <w:p>
      <w:pPr>
        <w:spacing w:after="160"/>
        <w:jc w:val="both"/>
      </w:pPr>
      <w:r>
        <w:rPr>
          <w:rFonts w:ascii="Calibri" w:cs="Calibri" w:eastAsia="Calibri" w:hAnsi="Calibri"/>
          <w:i w:val="false"/>
          <w:iCs w:val="false"/>
          <w:sz w:val="21"/>
          <w:szCs w:val="21"/>
        </w:rPr>
        <w:t xml:space="preserve">However: this exclusion does not apply to the insured person's oversight, supervision, or governance of the company's professional services business. For example, if a director is sued for failing to implement adequate quality controls across the firm, that is a governance claim covered by this section.</w:t>
      </w:r>
    </w:p>
    <w:p>
      <w:pPr>
        <w:spacing w:after="80" w:before="160"/>
      </w:pPr>
      <w:r>
        <w:rPr>
          <w:rFonts w:ascii="Calibri" w:cs="Calibri" w:eastAsia="Calibri" w:hAnsi="Calibri"/>
          <w:b/>
          <w:bCs/>
          <w:color w:val="1C1915"/>
          <w:sz w:val="22"/>
          <w:szCs w:val="22"/>
        </w:rPr>
        <w:t xml:space="preserve">A.19  Bodily Injury and Property Damage</w:t>
      </w:r>
    </w:p>
    <w:p>
      <w:pPr>
        <w:spacing w:after="160"/>
        <w:jc w:val="both"/>
      </w:pPr>
      <w:r>
        <w:rPr>
          <w:rFonts w:ascii="Calibri" w:cs="Calibri" w:eastAsia="Calibri" w:hAnsi="Calibri"/>
          <w:i w:val="false"/>
          <w:iCs w:val="false"/>
          <w:sz w:val="21"/>
          <w:szCs w:val="21"/>
        </w:rPr>
        <w:t xml:space="preserve">We do not cover any claim arising from death, bodily injury, or physical damage to tangible property — except for:</w:t>
      </w:r>
    </w:p>
    <w:p>
      <w:pPr>
        <w:spacing w:after="100"/>
        <w:ind w:left="431"/>
        <w:jc w:val="both"/>
      </w:pPr>
      <w:r>
        <w:rPr>
          <w:rFonts w:ascii="Calibri" w:cs="Calibri" w:eastAsia="Calibri" w:hAnsi="Calibri"/>
          <w:i w:val="false"/>
          <w:iCs w:val="false"/>
          <w:sz w:val="21"/>
          <w:szCs w:val="21"/>
        </w:rPr>
        <w:t xml:space="preserve">(a) defence costs incurred in WHS proceedings (covered under Section D if operative); and</w:t>
      </w:r>
    </w:p>
    <w:p>
      <w:pPr>
        <w:spacing w:after="100"/>
        <w:ind w:left="431"/>
        <w:jc w:val="both"/>
      </w:pPr>
      <w:r>
        <w:rPr>
          <w:rFonts w:ascii="Calibri" w:cs="Calibri" w:eastAsia="Calibri" w:hAnsi="Calibri"/>
          <w:i w:val="false"/>
          <w:iCs w:val="false"/>
          <w:sz w:val="21"/>
          <w:szCs w:val="21"/>
        </w:rPr>
        <w:t xml:space="preserve">(b) mental injury, emotional distress, or psychological harm arising from an employment practices wrongful act (covered under Section C if operative).</w:t>
      </w:r>
    </w:p>
    <w:p>
      <w:pPr>
        <w:spacing w:after="80" w:before="160"/>
      </w:pPr>
      <w:r>
        <w:rPr>
          <w:rFonts w:ascii="Calibri" w:cs="Calibri" w:eastAsia="Calibri" w:hAnsi="Calibri"/>
          <w:b/>
          <w:bCs/>
          <w:color w:val="1C1915"/>
          <w:sz w:val="22"/>
          <w:szCs w:val="22"/>
        </w:rPr>
        <w:t xml:space="preserve">A.20  War, Terrorism, Sanctions, and Nuclear</w:t>
      </w:r>
    </w:p>
    <w:p>
      <w:pPr>
        <w:spacing w:after="160"/>
        <w:jc w:val="both"/>
      </w:pPr>
      <w:r>
        <w:rPr>
          <w:rFonts w:ascii="Calibri" w:cs="Calibri" w:eastAsia="Calibri" w:hAnsi="Calibri"/>
          <w:i w:val="false"/>
          <w:iCs w:val="false"/>
          <w:sz w:val="21"/>
          <w:szCs w:val="21"/>
        </w:rPr>
        <w:t xml:space="preserve">We do not cover any claim arising from war, terrorism, sanctions, or nuclear risks — as described in the General Exclusions at Section F.</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B Company Liability</w:t>
      </w:r>
    </w:p>
    <w:p>
      <w:pPr>
        <w:spacing w:after="160"/>
        <w:jc w:val="both"/>
      </w:pPr>
      <w:r>
        <w:rPr>
          <w:rFonts w:ascii="Calibri" w:cs="Calibri" w:eastAsia="Calibri" w:hAnsi="Calibri"/>
          <w:i w:val="false"/>
          <w:iCs w:val="false"/>
          <w:sz w:val="21"/>
          <w:szCs w:val="21"/>
        </w:rPr>
        <w:t xml:space="preserve">This section must be marked "Included" in the schedule to be operative.</w:t>
      </w:r>
    </w:p>
    <w:p>
      <w:pPr>
        <w:pStyle w:val="Heading2"/>
        <w:spacing w:after="100" w:before="240"/>
      </w:pPr>
      <w:r>
        <w:rPr>
          <w:rFonts w:ascii="Calibri" w:cs="Calibri" w:eastAsia="Calibri" w:hAnsi="Calibri"/>
          <w:b/>
          <w:bCs/>
          <w:color w:val="1C1915"/>
          <w:sz w:val="24"/>
          <w:szCs w:val="24"/>
        </w:rPr>
        <w:t xml:space="preserve">What Is Covered</w:t>
      </w:r>
    </w:p>
    <w:p>
      <w:pPr>
        <w:spacing w:after="80" w:before="160"/>
      </w:pPr>
      <w:r>
        <w:rPr>
          <w:rFonts w:ascii="Calibri" w:cs="Calibri" w:eastAsia="Calibri" w:hAnsi="Calibri"/>
          <w:b/>
          <w:bCs/>
          <w:color w:val="1C1915"/>
          <w:sz w:val="22"/>
          <w:szCs w:val="22"/>
        </w:rPr>
        <w:t xml:space="preserve">B.1  Entity Cover</w:t>
      </w:r>
    </w:p>
    <w:p>
      <w:pPr>
        <w:spacing w:after="160"/>
        <w:jc w:val="both"/>
      </w:pPr>
      <w:r>
        <w:rPr>
          <w:rFonts w:ascii="Calibri" w:cs="Calibri" w:eastAsia="Calibri" w:hAnsi="Calibri"/>
          <w:i w:val="false"/>
          <w:iCs w:val="false"/>
          <w:sz w:val="21"/>
          <w:szCs w:val="21"/>
        </w:rPr>
        <w:t xml:space="preserve">If a claim is first made against the company during the policy period for a wrongful act of the company itself (not arising from professional services provided to third-party clients), we will pay:</w:t>
      </w:r>
    </w:p>
    <w:p>
      <w:pPr>
        <w:spacing w:after="100"/>
        <w:ind w:left="431"/>
        <w:jc w:val="both"/>
      </w:pPr>
      <w:r>
        <w:rPr>
          <w:rFonts w:ascii="Calibri" w:cs="Calibri" w:eastAsia="Calibri" w:hAnsi="Calibri"/>
          <w:i w:val="false"/>
          <w:iCs w:val="false"/>
          <w:sz w:val="21"/>
          <w:szCs w:val="21"/>
        </w:rPr>
        <w:t xml:space="preserve">(a) any loss the company becomes legally liable to pay; and</w:t>
      </w:r>
    </w:p>
    <w:p>
      <w:pPr>
        <w:spacing w:after="100"/>
        <w:ind w:left="431"/>
        <w:jc w:val="both"/>
      </w:pPr>
      <w:r>
        <w:rPr>
          <w:rFonts w:ascii="Calibri" w:cs="Calibri" w:eastAsia="Calibri" w:hAnsi="Calibri"/>
          <w:i w:val="false"/>
          <w:iCs w:val="false"/>
          <w:sz w:val="21"/>
          <w:szCs w:val="21"/>
        </w:rPr>
        <w:t xml:space="preserve">(b) defence costs.</w:t>
      </w:r>
    </w:p>
    <w:p>
      <w:pPr>
        <w:spacing w:after="160"/>
        <w:jc w:val="both"/>
      </w:pPr>
      <w:r>
        <w:rPr>
          <w:rFonts w:ascii="Calibri" w:cs="Calibri" w:eastAsia="Calibri" w:hAnsi="Calibri"/>
          <w:i w:val="false"/>
          <w:iCs w:val="false"/>
          <w:sz w:val="21"/>
          <w:szCs w:val="21"/>
        </w:rPr>
        <w:t xml:space="preserve">This covers the company's own liability for matters such as:</w:t>
      </w:r>
    </w:p>
    <w:p>
      <w:pPr>
        <w:pStyle w:val="ListParagraph"/>
        <w:numPr>
          <w:ilvl w:val="0"/>
          <w:numId w:val="2"/>
        </w:numPr>
        <w:spacing w:after="80"/>
      </w:pPr>
      <w:r>
        <w:rPr>
          <w:rFonts w:ascii="Calibri" w:cs="Calibri" w:eastAsia="Calibri" w:hAnsi="Calibri"/>
          <w:i w:val="false"/>
          <w:iCs w:val="false"/>
          <w:sz w:val="21"/>
          <w:szCs w:val="21"/>
        </w:rPr>
        <w:t xml:space="preserve">misleading or deceptive conduct in its own business affairs (not in the provision of services to clients);</w:t>
      </w:r>
    </w:p>
    <w:p>
      <w:pPr>
        <w:pStyle w:val="ListParagraph"/>
        <w:numPr>
          <w:ilvl w:val="0"/>
          <w:numId w:val="2"/>
        </w:numPr>
        <w:spacing w:after="80"/>
      </w:pPr>
      <w:r>
        <w:rPr>
          <w:rFonts w:ascii="Calibri" w:cs="Calibri" w:eastAsia="Calibri" w:hAnsi="Calibri"/>
          <w:i w:val="false"/>
          <w:iCs w:val="false"/>
          <w:sz w:val="21"/>
          <w:szCs w:val="21"/>
        </w:rPr>
        <w:t xml:space="preserve">breach of competition or consumer law in its own business dealings;</w:t>
      </w:r>
    </w:p>
    <w:p>
      <w:pPr>
        <w:pStyle w:val="ListParagraph"/>
        <w:numPr>
          <w:ilvl w:val="0"/>
          <w:numId w:val="2"/>
        </w:numPr>
        <w:spacing w:after="80"/>
      </w:pPr>
      <w:r>
        <w:rPr>
          <w:rFonts w:ascii="Calibri" w:cs="Calibri" w:eastAsia="Calibri" w:hAnsi="Calibri"/>
          <w:i w:val="false"/>
          <w:iCs w:val="false"/>
          <w:sz w:val="21"/>
          <w:szCs w:val="21"/>
        </w:rPr>
        <w:t xml:space="preserve">breach of a duty owed to a shareholder or member; and</w:t>
      </w:r>
    </w:p>
    <w:p>
      <w:pPr>
        <w:pStyle w:val="ListParagraph"/>
        <w:numPr>
          <w:ilvl w:val="0"/>
          <w:numId w:val="2"/>
        </w:numPr>
        <w:spacing w:after="80"/>
      </w:pPr>
      <w:r>
        <w:rPr>
          <w:rFonts w:ascii="Calibri" w:cs="Calibri" w:eastAsia="Calibri" w:hAnsi="Calibri"/>
          <w:i w:val="false"/>
          <w:iCs w:val="false"/>
          <w:sz w:val="21"/>
          <w:szCs w:val="21"/>
        </w:rPr>
        <w:t xml:space="preserve">wrongful conduct in connection with a corporate transaction (merger, acquisition, restructure).</w:t>
      </w:r>
    </w:p>
    <w:p>
      <w:pPr>
        <w:pStyle w:val="Heading2"/>
        <w:spacing w:after="100" w:before="240"/>
      </w:pPr>
      <w:r>
        <w:rPr>
          <w:rFonts w:ascii="Calibri" w:cs="Calibri" w:eastAsia="Calibri" w:hAnsi="Calibri"/>
          <w:b/>
          <w:bCs/>
          <w:color w:val="1C1915"/>
          <w:sz w:val="24"/>
          <w:szCs w:val="24"/>
        </w:rPr>
        <w:t xml:space="preserve">Extensions — Section B</w:t>
      </w:r>
    </w:p>
    <w:p>
      <w:pPr>
        <w:spacing w:after="80" w:before="160"/>
      </w:pPr>
      <w:r>
        <w:rPr>
          <w:rFonts w:ascii="Calibri" w:cs="Calibri" w:eastAsia="Calibri" w:hAnsi="Calibri"/>
          <w:b/>
          <w:bCs/>
          <w:color w:val="1C1915"/>
          <w:sz w:val="22"/>
          <w:szCs w:val="22"/>
        </w:rPr>
        <w:t xml:space="preserve">B.2  Tax Audit Costs</w:t>
      </w:r>
    </w:p>
    <w:p>
      <w:pPr>
        <w:spacing w:after="160"/>
        <w:jc w:val="both"/>
      </w:pPr>
      <w:r>
        <w:rPr>
          <w:rFonts w:ascii="Calibri" w:cs="Calibri" w:eastAsia="Calibri" w:hAnsi="Calibri"/>
          <w:i w:val="false"/>
          <w:iCs w:val="false"/>
          <w:sz w:val="21"/>
          <w:szCs w:val="21"/>
        </w:rPr>
        <w:t xml:space="preserve">If the ATO or a state revenue authority commences a formal audit of the company during the policy period, we will pay the reasonable costs of your accountant in responding to the audit.</w:t>
      </w:r>
    </w:p>
    <w:p>
      <w:pPr>
        <w:spacing w:after="160"/>
        <w:jc w:val="both"/>
      </w:pPr>
      <w:r>
        <w:rPr>
          <w:rFonts w:ascii="Calibri" w:cs="Calibri" w:eastAsia="Calibri" w:hAnsi="Calibri"/>
          <w:i w:val="false"/>
          <w:iCs w:val="false"/>
          <w:sz w:val="21"/>
          <w:szCs w:val="21"/>
        </w:rPr>
        <w:t xml:space="preserve">This does not cover any tax, interest, or penalty payable as a result of the audit.</w:t>
      </w:r>
    </w:p>
    <w:p>
      <w:pPr>
        <w:spacing w:after="80" w:before="160"/>
      </w:pPr>
      <w:r>
        <w:rPr>
          <w:rFonts w:ascii="Calibri" w:cs="Calibri" w:eastAsia="Calibri" w:hAnsi="Calibri"/>
          <w:b/>
          <w:bCs/>
          <w:color w:val="1C1915"/>
          <w:sz w:val="22"/>
          <w:szCs w:val="22"/>
        </w:rPr>
        <w:t xml:space="preserve">B.3  Public Relations Costs</w:t>
      </w:r>
    </w:p>
    <w:p>
      <w:pPr>
        <w:spacing w:after="160"/>
        <w:jc w:val="both"/>
      </w:pPr>
      <w:r>
        <w:rPr>
          <w:rFonts w:ascii="Calibri" w:cs="Calibri" w:eastAsia="Calibri" w:hAnsi="Calibri"/>
          <w:i w:val="false"/>
          <w:iCs w:val="false"/>
          <w:sz w:val="21"/>
          <w:szCs w:val="21"/>
        </w:rPr>
        <w:t xml:space="preserve">Following a claim covered by this section, we will pay the reasonable costs of engaging a public relations consultant.</w:t>
      </w:r>
    </w:p>
    <w:p>
      <w:pPr>
        <w:pStyle w:val="Heading2"/>
        <w:spacing w:after="100" w:before="240"/>
      </w:pPr>
      <w:r>
        <w:rPr>
          <w:rFonts w:ascii="Calibri" w:cs="Calibri" w:eastAsia="Calibri" w:hAnsi="Calibri"/>
          <w:b/>
          <w:bCs/>
          <w:color w:val="1C1915"/>
          <w:sz w:val="24"/>
          <w:szCs w:val="24"/>
        </w:rPr>
        <w:t xml:space="preserve">What Is Not Covered — Section B</w:t>
      </w:r>
    </w:p>
    <w:p>
      <w:pPr>
        <w:spacing w:after="160"/>
        <w:jc w:val="both"/>
      </w:pPr>
      <w:r>
        <w:rPr>
          <w:rFonts w:ascii="Calibri" w:cs="Calibri" w:eastAsia="Calibri" w:hAnsi="Calibri"/>
          <w:i w:val="false"/>
          <w:iCs w:val="false"/>
          <w:sz w:val="21"/>
          <w:szCs w:val="21"/>
        </w:rPr>
        <w:t xml:space="preserve">All exclusions from Section A apply to this section, plus:</w:t>
      </w:r>
    </w:p>
    <w:p>
      <w:pPr>
        <w:spacing w:after="80" w:before="160"/>
      </w:pPr>
      <w:r>
        <w:rPr>
          <w:rFonts w:ascii="Calibri" w:cs="Calibri" w:eastAsia="Calibri" w:hAnsi="Calibri"/>
          <w:b/>
          <w:bCs/>
          <w:color w:val="1C1915"/>
          <w:sz w:val="22"/>
          <w:szCs w:val="22"/>
        </w:rPr>
        <w:t xml:space="preserve">B.4  Professional Services</w:t>
      </w:r>
    </w:p>
    <w:p>
      <w:pPr>
        <w:spacing w:after="160"/>
        <w:jc w:val="both"/>
      </w:pPr>
      <w:r>
        <w:rPr>
          <w:rFonts w:ascii="Calibri" w:cs="Calibri" w:eastAsia="Calibri" w:hAnsi="Calibri"/>
          <w:i w:val="false"/>
          <w:iCs w:val="false"/>
          <w:sz w:val="21"/>
          <w:szCs w:val="21"/>
        </w:rPr>
        <w:t xml:space="preserve">We do not cover any claim for errors or omissions in professional advice or services provided by the company to third-party clients.</w:t>
      </w:r>
    </w:p>
    <w:p>
      <w:pPr>
        <w:spacing w:after="160"/>
        <w:jc w:val="both"/>
      </w:pPr>
      <w:r>
        <w:rPr>
          <w:rFonts w:ascii="Calibri" w:cs="Calibri" w:eastAsia="Calibri" w:hAnsi="Calibri"/>
          <w:i w:val="false"/>
          <w:iCs w:val="false"/>
          <w:sz w:val="21"/>
          <w:szCs w:val="21"/>
        </w:rPr>
        <w:t xml:space="preserve">This exposure is covered under professional indemnity insurance.</w:t>
      </w:r>
    </w:p>
    <w:p>
      <w:pPr>
        <w:spacing w:after="80" w:before="160"/>
      </w:pPr>
      <w:r>
        <w:rPr>
          <w:rFonts w:ascii="Calibri" w:cs="Calibri" w:eastAsia="Calibri" w:hAnsi="Calibri"/>
          <w:b/>
          <w:bCs/>
          <w:color w:val="1C1915"/>
          <w:sz w:val="22"/>
          <w:szCs w:val="22"/>
        </w:rPr>
        <w:t xml:space="preserve">B.5  Product Liability</w:t>
      </w:r>
    </w:p>
    <w:p>
      <w:pPr>
        <w:spacing w:after="160"/>
        <w:jc w:val="both"/>
      </w:pPr>
      <w:r>
        <w:rPr>
          <w:rFonts w:ascii="Calibri" w:cs="Calibri" w:eastAsia="Calibri" w:hAnsi="Calibri"/>
          <w:i w:val="false"/>
          <w:iCs w:val="false"/>
          <w:sz w:val="21"/>
          <w:szCs w:val="21"/>
        </w:rPr>
        <w:t xml:space="preserve">We do not cover any claim arising from the design, manufacture, supply, distribution, sale, or recall of any tangible product.</w:t>
      </w:r>
    </w:p>
    <w:p>
      <w:pPr>
        <w:spacing w:after="80" w:before="160"/>
      </w:pPr>
      <w:r>
        <w:rPr>
          <w:rFonts w:ascii="Calibri" w:cs="Calibri" w:eastAsia="Calibri" w:hAnsi="Calibri"/>
          <w:b/>
          <w:bCs/>
          <w:color w:val="1C1915"/>
          <w:sz w:val="22"/>
          <w:szCs w:val="22"/>
        </w:rPr>
        <w:t xml:space="preserve">B.6  Contractual Liability</w:t>
      </w:r>
    </w:p>
    <w:p>
      <w:pPr>
        <w:spacing w:after="160"/>
        <w:jc w:val="both"/>
      </w:pPr>
      <w:r>
        <w:rPr>
          <w:rFonts w:ascii="Calibri" w:cs="Calibri" w:eastAsia="Calibri" w:hAnsi="Calibri"/>
          <w:i w:val="false"/>
          <w:iCs w:val="false"/>
          <w:sz w:val="21"/>
          <w:szCs w:val="21"/>
        </w:rPr>
        <w:t xml:space="preserve">We do not cover any claim for any liability assumed under a contract that is greater than the liability the company would have at law without the contract.</w:t>
      </w:r>
    </w:p>
    <w:p>
      <w:pPr>
        <w:spacing w:after="80" w:before="160"/>
      </w:pPr>
      <w:r>
        <w:rPr>
          <w:rFonts w:ascii="Calibri" w:cs="Calibri" w:eastAsia="Calibri" w:hAnsi="Calibri"/>
          <w:b/>
          <w:bCs/>
          <w:color w:val="1C1915"/>
          <w:sz w:val="22"/>
          <w:szCs w:val="22"/>
        </w:rPr>
        <w:t xml:space="preserve">B.7  Cyber Event</w:t>
      </w:r>
    </w:p>
    <w:p>
      <w:pPr>
        <w:spacing w:after="160"/>
        <w:jc w:val="both"/>
      </w:pPr>
      <w:r>
        <w:rPr>
          <w:rFonts w:ascii="Calibri" w:cs="Calibri" w:eastAsia="Calibri" w:hAnsi="Calibri"/>
          <w:i w:val="false"/>
          <w:iCs w:val="false"/>
          <w:sz w:val="21"/>
          <w:szCs w:val="21"/>
        </w:rPr>
        <w:t xml:space="preserve">We do not cover any claim arising from or in connection with a cyber event.</w:t>
      </w:r>
    </w:p>
    <w:p>
      <w:pPr>
        <w:spacing w:after="160"/>
        <w:jc w:val="both"/>
      </w:pPr>
      <w:r>
        <w:rPr>
          <w:rFonts w:ascii="Calibri" w:cs="Calibri" w:eastAsia="Calibri" w:hAnsi="Calibri"/>
          <w:i w:val="false"/>
          <w:iCs w:val="false"/>
          <w:sz w:val="21"/>
          <w:szCs w:val="21"/>
        </w:rPr>
        <w:t xml:space="preserve">This exposure is covered under cyber insurance.</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C Employment Practices Liability</w:t>
      </w:r>
    </w:p>
    <w:p>
      <w:pPr>
        <w:spacing w:after="160"/>
        <w:jc w:val="both"/>
      </w:pPr>
      <w:r>
        <w:rPr>
          <w:rFonts w:ascii="Calibri" w:cs="Calibri" w:eastAsia="Calibri" w:hAnsi="Calibri"/>
          <w:i w:val="false"/>
          <w:iCs w:val="false"/>
          <w:sz w:val="21"/>
          <w:szCs w:val="21"/>
        </w:rPr>
        <w:t xml:space="preserve">This section must be marked "Included" in the schedule to be operative.</w:t>
      </w:r>
    </w:p>
    <w:p>
      <w:pPr>
        <w:pStyle w:val="Heading2"/>
        <w:spacing w:after="100" w:before="240"/>
      </w:pPr>
      <w:r>
        <w:rPr>
          <w:rFonts w:ascii="Calibri" w:cs="Calibri" w:eastAsia="Calibri" w:hAnsi="Calibri"/>
          <w:b/>
          <w:bCs/>
          <w:color w:val="1C1915"/>
          <w:sz w:val="24"/>
          <w:szCs w:val="24"/>
        </w:rPr>
        <w:t xml:space="preserve">Additional Definitions — Section C</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300"/>
        <w:gridCol w:w="7200"/>
      </w:tblGrid>
      <w:tr>
        <w:trPr>
          <w:tblHeader/>
        </w:trPr>
        <w:tc>
          <w:tcPr>
            <w:tcW w:type="dxa" w:w="23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Term</w:t>
            </w:r>
          </w:p>
        </w:tc>
        <w:tc>
          <w:tcPr>
            <w:tcW w:type="dxa" w:w="72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Meaning</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Employment practices wrongful act</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any actual or alleged:</w:t>
            </w:r>
          </w:p>
          <w:p>
            <w:pPr>
              <w:spacing w:after="60"/>
            </w:pPr>
            <w:r>
              <w:rPr>
                <w:rFonts w:ascii="Calibri" w:cs="Calibri" w:eastAsia="Calibri" w:hAnsi="Calibri"/>
                <w:i w:val="false"/>
                <w:iCs w:val="false"/>
                <w:sz w:val="20"/>
                <w:szCs w:val="20"/>
              </w:rPr>
              <w:t xml:space="preserve">(a) wrongful dismissal, wrongful termination, or constructive dismissal;</w:t>
            </w:r>
          </w:p>
          <w:p>
            <w:pPr>
              <w:spacing w:after="60"/>
            </w:pPr>
            <w:r>
              <w:rPr>
                <w:rFonts w:ascii="Calibri" w:cs="Calibri" w:eastAsia="Calibri" w:hAnsi="Calibri"/>
                <w:i w:val="false"/>
                <w:iCs w:val="false"/>
                <w:sz w:val="20"/>
                <w:szCs w:val="20"/>
              </w:rPr>
              <w:t xml:space="preserve">(b) breach of an employment contract (written, oral, or implied);</w:t>
            </w:r>
          </w:p>
          <w:p>
            <w:pPr>
              <w:spacing w:after="60"/>
            </w:pPr>
            <w:r>
              <w:rPr>
                <w:rFonts w:ascii="Calibri" w:cs="Calibri" w:eastAsia="Calibri" w:hAnsi="Calibri"/>
                <w:i w:val="false"/>
                <w:iCs w:val="false"/>
                <w:sz w:val="20"/>
                <w:szCs w:val="20"/>
              </w:rPr>
              <w:t xml:space="preserve">(c) discrimination or harassment (including sexual harassment) on any ground prohibited by law, including age, sex, gender identity, sexual orientation, race, disability, religion, pregnancy, marital status, or political opinion;</w:t>
            </w:r>
          </w:p>
          <w:p>
            <w:pPr>
              <w:spacing w:after="60"/>
            </w:pPr>
            <w:r>
              <w:rPr>
                <w:rFonts w:ascii="Calibri" w:cs="Calibri" w:eastAsia="Calibri" w:hAnsi="Calibri"/>
                <w:i w:val="false"/>
                <w:iCs w:val="false"/>
                <w:sz w:val="20"/>
                <w:szCs w:val="20"/>
              </w:rPr>
              <w:t xml:space="preserve">(d) bullying or workplace intimidation;</w:t>
            </w:r>
          </w:p>
          <w:p>
            <w:pPr>
              <w:spacing w:after="60"/>
            </w:pPr>
            <w:r>
              <w:rPr>
                <w:rFonts w:ascii="Calibri" w:cs="Calibri" w:eastAsia="Calibri" w:hAnsi="Calibri"/>
                <w:i w:val="false"/>
                <w:iCs w:val="false"/>
                <w:sz w:val="20"/>
                <w:szCs w:val="20"/>
              </w:rPr>
              <w:t xml:space="preserve">(e) failure to provide a safe and healthy workplace (to the extent this gives rise to civil liability — WHS prosecutions are covered under Section D);</w:t>
            </w:r>
          </w:p>
          <w:p>
            <w:pPr>
              <w:spacing w:after="60"/>
            </w:pPr>
            <w:r>
              <w:rPr>
                <w:rFonts w:ascii="Calibri" w:cs="Calibri" w:eastAsia="Calibri" w:hAnsi="Calibri"/>
                <w:i w:val="false"/>
                <w:iCs w:val="false"/>
                <w:sz w:val="20"/>
                <w:szCs w:val="20"/>
              </w:rPr>
              <w:t xml:space="preserve">(f) wrongful failure to promote, wrongful demotion, or wrongful failure to employ;</w:t>
            </w:r>
          </w:p>
          <w:p>
            <w:pPr>
              <w:spacing w:after="60"/>
            </w:pPr>
            <w:r>
              <w:rPr>
                <w:rFonts w:ascii="Calibri" w:cs="Calibri" w:eastAsia="Calibri" w:hAnsi="Calibri"/>
                <w:i w:val="false"/>
                <w:iCs w:val="false"/>
                <w:sz w:val="20"/>
                <w:szCs w:val="20"/>
              </w:rPr>
              <w:t xml:space="preserve">(g) wrongful deprivation of a career opportunity;</w:t>
            </w:r>
          </w:p>
          <w:p>
            <w:pPr>
              <w:spacing w:after="60"/>
            </w:pPr>
            <w:r>
              <w:rPr>
                <w:rFonts w:ascii="Calibri" w:cs="Calibri" w:eastAsia="Calibri" w:hAnsi="Calibri"/>
                <w:i w:val="false"/>
                <w:iCs w:val="false"/>
                <w:sz w:val="20"/>
                <w:szCs w:val="20"/>
              </w:rPr>
              <w:t xml:space="preserve">(h) misrepresentation to an employee or prospective employee about the terms or nature of their employment;</w:t>
            </w:r>
          </w:p>
          <w:p>
            <w:pPr>
              <w:spacing w:after="60"/>
            </w:pPr>
            <w:r>
              <w:rPr>
                <w:rFonts w:ascii="Calibri" w:cs="Calibri" w:eastAsia="Calibri" w:hAnsi="Calibri"/>
                <w:i w:val="false"/>
                <w:iCs w:val="false"/>
                <w:sz w:val="20"/>
                <w:szCs w:val="20"/>
              </w:rPr>
              <w:t xml:space="preserve">(i) retaliation against a whistleblower, or any adverse action taken against a person who has made a complaint, disclosure, or report under any whistleblower protection legislation;</w:t>
            </w:r>
          </w:p>
          <w:p>
            <w:pPr>
              <w:spacing w:after="60"/>
            </w:pPr>
            <w:r>
              <w:rPr>
                <w:rFonts w:ascii="Calibri" w:cs="Calibri" w:eastAsia="Calibri" w:hAnsi="Calibri"/>
                <w:i w:val="false"/>
                <w:iCs w:val="false"/>
                <w:sz w:val="20"/>
                <w:szCs w:val="20"/>
              </w:rPr>
              <w:t xml:space="preserve">(j) breach of privacy of an employee's personal information (to the extent the claim relates to the employment relationship);</w:t>
            </w:r>
          </w:p>
          <w:p>
            <w:pPr>
              <w:spacing w:after="60"/>
            </w:pPr>
            <w:r>
              <w:rPr>
                <w:rFonts w:ascii="Calibri" w:cs="Calibri" w:eastAsia="Calibri" w:hAnsi="Calibri"/>
                <w:i w:val="false"/>
                <w:iCs w:val="false"/>
                <w:sz w:val="20"/>
                <w:szCs w:val="20"/>
              </w:rPr>
              <w:t xml:space="preserve">(k) wrongful denial or reduction of any benefit or entitlement; and</w:t>
            </w:r>
          </w:p>
          <w:p>
            <w:pPr>
              <w:spacing w:after="60"/>
            </w:pPr>
            <w:r>
              <w:rPr>
                <w:rFonts w:ascii="Calibri" w:cs="Calibri" w:eastAsia="Calibri" w:hAnsi="Calibri"/>
                <w:i w:val="false"/>
                <w:iCs w:val="false"/>
                <w:sz w:val="20"/>
                <w:szCs w:val="20"/>
              </w:rPr>
              <w:t xml:space="preserve">(l) any other civil liability arising from the employment relationship.</w:t>
            </w:r>
          </w:p>
        </w:tc>
      </w:tr>
    </w:tbl>
    <w:p>
      <w:pPr>
        <w:pStyle w:val="Heading2"/>
        <w:spacing w:after="100" w:before="240"/>
      </w:pPr>
      <w:r>
        <w:rPr>
          <w:rFonts w:ascii="Calibri" w:cs="Calibri" w:eastAsia="Calibri" w:hAnsi="Calibri"/>
          <w:b/>
          <w:bCs/>
          <w:color w:val="1C1915"/>
          <w:sz w:val="24"/>
          <w:szCs w:val="24"/>
        </w:rPr>
        <w:t xml:space="preserve">What Is Covered</w:t>
      </w:r>
    </w:p>
    <w:p>
      <w:pPr>
        <w:spacing w:after="80" w:before="160"/>
      </w:pPr>
      <w:r>
        <w:rPr>
          <w:rFonts w:ascii="Calibri" w:cs="Calibri" w:eastAsia="Calibri" w:hAnsi="Calibri"/>
          <w:b/>
          <w:bCs/>
          <w:color w:val="1C1915"/>
          <w:sz w:val="22"/>
          <w:szCs w:val="22"/>
        </w:rPr>
        <w:t xml:space="preserve">C.1  Employment Practices Claims</w:t>
      </w:r>
    </w:p>
    <w:p>
      <w:pPr>
        <w:spacing w:after="160"/>
        <w:jc w:val="both"/>
      </w:pPr>
      <w:r>
        <w:rPr>
          <w:rFonts w:ascii="Calibri" w:cs="Calibri" w:eastAsia="Calibri" w:hAnsi="Calibri"/>
          <w:i w:val="false"/>
          <w:iCs w:val="false"/>
          <w:sz w:val="21"/>
          <w:szCs w:val="21"/>
        </w:rPr>
        <w:t xml:space="preserve">If a claim is first made against any insured during the policy period for an employment practices wrongful act, we will pay:</w:t>
      </w:r>
    </w:p>
    <w:p>
      <w:pPr>
        <w:spacing w:after="100"/>
        <w:ind w:left="431"/>
        <w:jc w:val="both"/>
      </w:pPr>
      <w:r>
        <w:rPr>
          <w:rFonts w:ascii="Calibri" w:cs="Calibri" w:eastAsia="Calibri" w:hAnsi="Calibri"/>
          <w:i w:val="false"/>
          <w:iCs w:val="false"/>
          <w:sz w:val="21"/>
          <w:szCs w:val="21"/>
        </w:rPr>
        <w:t xml:space="preserve">(a) any loss the insured becomes legally liable to pay as compensation; and</w:t>
      </w:r>
    </w:p>
    <w:p>
      <w:pPr>
        <w:spacing w:after="100"/>
        <w:ind w:left="431"/>
        <w:jc w:val="both"/>
      </w:pPr>
      <w:r>
        <w:rPr>
          <w:rFonts w:ascii="Calibri" w:cs="Calibri" w:eastAsia="Calibri" w:hAnsi="Calibri"/>
          <w:i w:val="false"/>
          <w:iCs w:val="false"/>
          <w:sz w:val="21"/>
          <w:szCs w:val="21"/>
        </w:rPr>
        <w:t xml:space="preserve">(b) defence costs.</w:t>
      </w:r>
    </w:p>
    <w:p>
      <w:pPr>
        <w:spacing w:after="160"/>
        <w:jc w:val="both"/>
      </w:pPr>
      <w:r>
        <w:rPr>
          <w:rFonts w:ascii="Calibri" w:cs="Calibri" w:eastAsia="Calibri" w:hAnsi="Calibri"/>
          <w:i w:val="false"/>
          <w:iCs w:val="false"/>
          <w:sz w:val="21"/>
          <w:szCs w:val="21"/>
        </w:rPr>
        <w:t xml:space="preserve">This covers claims brought by current, former, or prospective employees, and by third parties such as unions, the Fair Work Commission, the Fair Work Ombudsman, or the Australian Human Rights Commission.</w:t>
      </w:r>
    </w:p>
    <w:p>
      <w:pPr>
        <w:pStyle w:val="Heading2"/>
        <w:spacing w:after="100" w:before="240"/>
      </w:pPr>
      <w:r>
        <w:rPr>
          <w:rFonts w:ascii="Calibri" w:cs="Calibri" w:eastAsia="Calibri" w:hAnsi="Calibri"/>
          <w:b/>
          <w:bCs/>
          <w:color w:val="1C1915"/>
          <w:sz w:val="24"/>
          <w:szCs w:val="24"/>
        </w:rPr>
        <w:t xml:space="preserve">Extensions — Section C</w:t>
      </w:r>
    </w:p>
    <w:p>
      <w:pPr>
        <w:spacing w:after="80" w:before="160"/>
      </w:pPr>
      <w:r>
        <w:rPr>
          <w:rFonts w:ascii="Calibri" w:cs="Calibri" w:eastAsia="Calibri" w:hAnsi="Calibri"/>
          <w:b/>
          <w:bCs/>
          <w:color w:val="1C1915"/>
          <w:sz w:val="22"/>
          <w:szCs w:val="22"/>
        </w:rPr>
        <w:t xml:space="preserve">C.2  Fair Work Proceedings</w:t>
      </w:r>
    </w:p>
    <w:p>
      <w:pPr>
        <w:spacing w:after="160"/>
        <w:jc w:val="both"/>
      </w:pPr>
      <w:r>
        <w:rPr>
          <w:rFonts w:ascii="Calibri" w:cs="Calibri" w:eastAsia="Calibri" w:hAnsi="Calibri"/>
          <w:i w:val="false"/>
          <w:iCs w:val="false"/>
          <w:sz w:val="21"/>
          <w:szCs w:val="21"/>
        </w:rPr>
        <w:t xml:space="preserve">We will pay your defence costs in any proceedings before the Fair Work Commission, Fair Work Ombudsman, or the Australian Human Rights Commission arising from an employment practices wrongful act, even if the proceedings do not constitute a claim as defined.</w:t>
      </w:r>
    </w:p>
    <w:p>
      <w:pPr>
        <w:spacing w:after="80" w:before="160"/>
      </w:pPr>
      <w:r>
        <w:rPr>
          <w:rFonts w:ascii="Calibri" w:cs="Calibri" w:eastAsia="Calibri" w:hAnsi="Calibri"/>
          <w:b/>
          <w:bCs/>
          <w:color w:val="1C1915"/>
          <w:sz w:val="22"/>
          <w:szCs w:val="22"/>
        </w:rPr>
        <w:t xml:space="preserve">C.3  Workplace Mediation Costs</w:t>
      </w:r>
    </w:p>
    <w:p>
      <w:pPr>
        <w:spacing w:after="160"/>
        <w:jc w:val="both"/>
      </w:pPr>
      <w:r>
        <w:rPr>
          <w:rFonts w:ascii="Calibri" w:cs="Calibri" w:eastAsia="Calibri" w:hAnsi="Calibri"/>
          <w:i w:val="false"/>
          <w:iCs w:val="false"/>
          <w:sz w:val="21"/>
          <w:szCs w:val="21"/>
        </w:rPr>
        <w:t xml:space="preserve">If a workplace dispute arises that has not yet become a claim, and you engage a qualified mediator to resolve it, we will pay the reasonable mediation costs — with our prior consent.</w:t>
      </w:r>
    </w:p>
    <w:p>
      <w:pPr>
        <w:spacing w:after="80" w:before="160"/>
      </w:pPr>
      <w:r>
        <w:rPr>
          <w:rFonts w:ascii="Calibri" w:cs="Calibri" w:eastAsia="Calibri" w:hAnsi="Calibri"/>
          <w:b/>
          <w:bCs/>
          <w:color w:val="1C1915"/>
          <w:sz w:val="22"/>
          <w:szCs w:val="22"/>
        </w:rPr>
        <w:t xml:space="preserve">C.4  Employee Counselling Costs</w:t>
      </w:r>
    </w:p>
    <w:p>
      <w:pPr>
        <w:spacing w:after="160"/>
        <w:jc w:val="both"/>
      </w:pPr>
      <w:r>
        <w:rPr>
          <w:rFonts w:ascii="Calibri" w:cs="Calibri" w:eastAsia="Calibri" w:hAnsi="Calibri"/>
          <w:i w:val="false"/>
          <w:iCs w:val="false"/>
          <w:sz w:val="21"/>
          <w:szCs w:val="21"/>
        </w:rPr>
        <w:t xml:space="preserve">If an employment practices wrongful act causes psychological harm to an employee (whether or not a claim has been made), we will pay the reasonable costs of professional counselling for the affected employee, up to 12 sessions.</w:t>
      </w:r>
    </w:p>
    <w:p>
      <w:pPr>
        <w:pStyle w:val="Heading2"/>
        <w:spacing w:after="100" w:before="240"/>
      </w:pPr>
      <w:r>
        <w:rPr>
          <w:rFonts w:ascii="Calibri" w:cs="Calibri" w:eastAsia="Calibri" w:hAnsi="Calibri"/>
          <w:b/>
          <w:bCs/>
          <w:color w:val="1C1915"/>
          <w:sz w:val="24"/>
          <w:szCs w:val="24"/>
        </w:rPr>
        <w:t xml:space="preserve">What Is Not Covered — Section C</w:t>
      </w:r>
    </w:p>
    <w:p>
      <w:pPr>
        <w:spacing w:after="80" w:before="160"/>
      </w:pPr>
      <w:r>
        <w:rPr>
          <w:rFonts w:ascii="Calibri" w:cs="Calibri" w:eastAsia="Calibri" w:hAnsi="Calibri"/>
          <w:b/>
          <w:bCs/>
          <w:color w:val="1C1915"/>
          <w:sz w:val="22"/>
          <w:szCs w:val="22"/>
        </w:rPr>
        <w:t xml:space="preserve">C.5  Workers' Compensation</w:t>
      </w:r>
    </w:p>
    <w:p>
      <w:pPr>
        <w:spacing w:after="160"/>
        <w:jc w:val="both"/>
      </w:pPr>
      <w:r>
        <w:rPr>
          <w:rFonts w:ascii="Calibri" w:cs="Calibri" w:eastAsia="Calibri" w:hAnsi="Calibri"/>
          <w:i w:val="false"/>
          <w:iCs w:val="false"/>
          <w:sz w:val="21"/>
          <w:szCs w:val="21"/>
        </w:rPr>
        <w:t xml:space="preserve">We do not cover any claim that is covered or ought to be covered by any workers' compensation, workplace injury, or accident compensation scheme, whether statutory or contractual.</w:t>
      </w:r>
    </w:p>
    <w:p>
      <w:pPr>
        <w:spacing w:after="80" w:before="160"/>
      </w:pPr>
      <w:r>
        <w:rPr>
          <w:rFonts w:ascii="Calibri" w:cs="Calibri" w:eastAsia="Calibri" w:hAnsi="Calibri"/>
          <w:b/>
          <w:bCs/>
          <w:color w:val="1C1915"/>
          <w:sz w:val="22"/>
          <w:szCs w:val="22"/>
        </w:rPr>
        <w:t xml:space="preserve">C.6  Employment Entitlements</w:t>
      </w:r>
    </w:p>
    <w:p>
      <w:pPr>
        <w:spacing w:after="160"/>
        <w:jc w:val="both"/>
      </w:pPr>
      <w:r>
        <w:rPr>
          <w:rFonts w:ascii="Calibri" w:cs="Calibri" w:eastAsia="Calibri" w:hAnsi="Calibri"/>
          <w:i w:val="false"/>
          <w:iCs w:val="false"/>
          <w:sz w:val="21"/>
          <w:szCs w:val="21"/>
        </w:rPr>
        <w:t xml:space="preserve">We do not cover any claim for wages, salary, overtime, leave entitlements, superannuation contributions, or any other amount that you were legally obliged to pay in the ordinary course of the employment relationship — as distinct from compensation for a wrongful act.</w:t>
      </w:r>
    </w:p>
    <w:p>
      <w:pPr>
        <w:spacing w:after="160"/>
        <w:jc w:val="both"/>
      </w:pPr>
      <w:r>
        <w:rPr>
          <w:rFonts w:ascii="Calibri" w:cs="Calibri" w:eastAsia="Calibri" w:hAnsi="Calibri"/>
          <w:i w:val="false"/>
          <w:iCs w:val="false"/>
          <w:sz w:val="21"/>
          <w:szCs w:val="21"/>
        </w:rPr>
        <w:t xml:space="preserve">We cover damages for wrongful dismissal, but not underpaid wages that triggered the complaint.</w:t>
      </w:r>
    </w:p>
    <w:p>
      <w:pPr>
        <w:spacing w:after="80" w:before="160"/>
      </w:pPr>
      <w:r>
        <w:rPr>
          <w:rFonts w:ascii="Calibri" w:cs="Calibri" w:eastAsia="Calibri" w:hAnsi="Calibri"/>
          <w:b/>
          <w:bCs/>
          <w:color w:val="1C1915"/>
          <w:sz w:val="22"/>
          <w:szCs w:val="22"/>
        </w:rPr>
        <w:t xml:space="preserve">C.7  Industrial Action</w:t>
      </w:r>
    </w:p>
    <w:p>
      <w:pPr>
        <w:spacing w:after="160"/>
        <w:jc w:val="both"/>
      </w:pPr>
      <w:r>
        <w:rPr>
          <w:rFonts w:ascii="Calibri" w:cs="Calibri" w:eastAsia="Calibri" w:hAnsi="Calibri"/>
          <w:i w:val="false"/>
          <w:iCs w:val="false"/>
          <w:sz w:val="21"/>
          <w:szCs w:val="21"/>
        </w:rPr>
        <w:t xml:space="preserve">We do not cover any claim arising from any industrial action, lockout, strike, or collective bargaining dispute.</w:t>
      </w:r>
    </w:p>
    <w:p>
      <w:pPr>
        <w:spacing w:after="80" w:before="160"/>
      </w:pPr>
      <w:r>
        <w:rPr>
          <w:rFonts w:ascii="Calibri" w:cs="Calibri" w:eastAsia="Calibri" w:hAnsi="Calibri"/>
          <w:b/>
          <w:bCs/>
          <w:color w:val="1C1915"/>
          <w:sz w:val="22"/>
          <w:szCs w:val="22"/>
        </w:rPr>
        <w:t xml:space="preserve">C.8  Deliberate and Dishonest Acts</w:t>
      </w:r>
    </w:p>
    <w:p>
      <w:pPr>
        <w:spacing w:after="160"/>
        <w:jc w:val="both"/>
      </w:pPr>
      <w:r>
        <w:rPr>
          <w:rFonts w:ascii="Calibri" w:cs="Calibri" w:eastAsia="Calibri" w:hAnsi="Calibri"/>
          <w:i w:val="false"/>
          <w:iCs w:val="false"/>
          <w:sz w:val="21"/>
          <w:szCs w:val="21"/>
        </w:rPr>
        <w:t xml:space="preserve">We do not cover any claim arising from an employment practices wrongful act that the insured deliberately committed with the knowledge that it was unlawful — but only after a final adjudication establishes this. Until that point, we will advance defence costs.</w:t>
      </w:r>
    </w:p>
    <w:p>
      <w:pPr>
        <w:spacing w:after="160"/>
        <w:jc w:val="both"/>
      </w:pPr>
      <w:r>
        <w:rPr>
          <w:rFonts w:ascii="Calibri" w:cs="Calibri" w:eastAsia="Calibri" w:hAnsi="Calibri"/>
          <w:i w:val="false"/>
          <w:iCs w:val="false"/>
          <w:sz w:val="21"/>
          <w:szCs w:val="21"/>
        </w:rPr>
        <w:t xml:space="preserve">The severability principle applies: we will still cover any insured who did not personally commit or know about the deliberate conduct.</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D Statutory Liability</w:t>
      </w:r>
    </w:p>
    <w:p>
      <w:pPr>
        <w:spacing w:after="160"/>
        <w:jc w:val="both"/>
      </w:pPr>
      <w:r>
        <w:rPr>
          <w:rFonts w:ascii="Calibri" w:cs="Calibri" w:eastAsia="Calibri" w:hAnsi="Calibri"/>
          <w:i w:val="false"/>
          <w:iCs w:val="false"/>
          <w:sz w:val="21"/>
          <w:szCs w:val="21"/>
        </w:rPr>
        <w:t xml:space="preserve">This section must be marked "Included" in the schedule to be operative.</w:t>
      </w:r>
    </w:p>
    <w:p>
      <w:pPr>
        <w:pStyle w:val="Heading2"/>
        <w:spacing w:after="100" w:before="240"/>
      </w:pPr>
      <w:r>
        <w:rPr>
          <w:rFonts w:ascii="Calibri" w:cs="Calibri" w:eastAsia="Calibri" w:hAnsi="Calibri"/>
          <w:b/>
          <w:bCs/>
          <w:color w:val="1C1915"/>
          <w:sz w:val="24"/>
          <w:szCs w:val="24"/>
        </w:rPr>
        <w:t xml:space="preserve">What Is Covered</w:t>
      </w:r>
    </w:p>
    <w:p>
      <w:pPr>
        <w:spacing w:after="80" w:before="160"/>
      </w:pPr>
      <w:r>
        <w:rPr>
          <w:rFonts w:ascii="Calibri" w:cs="Calibri" w:eastAsia="Calibri" w:hAnsi="Calibri"/>
          <w:b/>
          <w:bCs/>
          <w:color w:val="1C1915"/>
          <w:sz w:val="22"/>
          <w:szCs w:val="22"/>
        </w:rPr>
        <w:t xml:space="preserve">D.1  Statutory Proceedings</w:t>
      </w:r>
    </w:p>
    <w:p>
      <w:pPr>
        <w:spacing w:after="160"/>
        <w:jc w:val="both"/>
      </w:pPr>
      <w:r>
        <w:rPr>
          <w:rFonts w:ascii="Calibri" w:cs="Calibri" w:eastAsia="Calibri" w:hAnsi="Calibri"/>
          <w:i w:val="false"/>
          <w:iCs w:val="false"/>
          <w:sz w:val="21"/>
          <w:szCs w:val="21"/>
        </w:rPr>
        <w:t xml:space="preserve">If a prosecution, proceeding, or enforcement action is brought against any insured during the policy period under any Australian federal, state, or territory statute in connection with the operations of the company, we will pay:</w:t>
      </w:r>
    </w:p>
    <w:p>
      <w:pPr>
        <w:spacing w:after="100"/>
        <w:ind w:left="431"/>
        <w:jc w:val="both"/>
      </w:pPr>
      <w:r>
        <w:rPr>
          <w:rFonts w:ascii="Calibri" w:cs="Calibri" w:eastAsia="Calibri" w:hAnsi="Calibri"/>
          <w:i w:val="false"/>
          <w:iCs w:val="false"/>
          <w:sz w:val="21"/>
          <w:szCs w:val="21"/>
        </w:rPr>
        <w:t xml:space="preserve">(a) insurable fines and penalties; and</w:t>
      </w:r>
    </w:p>
    <w:p>
      <w:pPr>
        <w:spacing w:after="100"/>
        <w:ind w:left="431"/>
        <w:jc w:val="both"/>
      </w:pPr>
      <w:r>
        <w:rPr>
          <w:rFonts w:ascii="Calibri" w:cs="Calibri" w:eastAsia="Calibri" w:hAnsi="Calibri"/>
          <w:i w:val="false"/>
          <w:iCs w:val="false"/>
          <w:sz w:val="21"/>
          <w:szCs w:val="21"/>
        </w:rPr>
        <w:t xml:space="preserve">(b) defence costs.</w:t>
      </w:r>
    </w:p>
    <w:p>
      <w:pPr>
        <w:spacing w:after="160"/>
        <w:jc w:val="both"/>
      </w:pPr>
      <w:r>
        <w:rPr>
          <w:rFonts w:ascii="Calibri" w:cs="Calibri" w:eastAsia="Calibri" w:hAnsi="Calibri"/>
          <w:i w:val="false"/>
          <w:iCs w:val="false"/>
          <w:sz w:val="21"/>
          <w:szCs w:val="21"/>
        </w:rPr>
        <w:t xml:space="preserve">This is subject to D.6 (Uninsurable Penalties) and D.9 (Corporations Act sections 199A and 199B), which restrict cover for specific proceedings, including those listed in the table below.</w:t>
      </w:r>
    </w:p>
    <w:p>
      <w:pPr>
        <w:spacing w:after="160"/>
        <w:jc w:val="both"/>
      </w:pPr>
      <w:r>
        <w:rPr>
          <w:rFonts w:ascii="Calibri" w:cs="Calibri" w:eastAsia="Calibri" w:hAnsi="Calibri"/>
          <w:i w:val="false"/>
          <w:iCs w:val="false"/>
          <w:sz w:val="21"/>
          <w:szCs w:val="21"/>
        </w:rPr>
        <w:t xml:space="preserve">This covers proceedings under legislation including (but not limited to):</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600"/>
        <w:gridCol w:w="3300"/>
        <w:gridCol w:w="3600"/>
      </w:tblGrid>
      <w:tr>
        <w:trPr>
          <w:tblHeader/>
        </w:trPr>
        <w:tc>
          <w:tcPr>
            <w:tcW w:type="dxa" w:w="2600"/>
            <w:shd w:fill="E2D9C8" w:val="clear"/>
            <w:tcMar>
              <w:top w:type="dxa" w:w="100"/>
              <w:left w:type="dxa" w:w="100"/>
              <w:bottom w:type="dxa" w:w="100"/>
              <w:right w:type="dxa" w:w="100"/>
            </w:tcMar>
            <w:vAlign w:val="top"/>
          </w:tcPr>
          <w:p>
            <w:r>
              <w:rPr>
                <w:rFonts w:ascii="Calibri" w:cs="Calibri" w:eastAsia="Calibri" w:hAnsi="Calibri"/>
                <w:b/>
                <w:bCs/>
                <w:sz w:val="19"/>
                <w:szCs w:val="19"/>
              </w:rPr>
              <w:t xml:space="preserve">Legislation</w:t>
            </w:r>
          </w:p>
        </w:tc>
        <w:tc>
          <w:tcPr>
            <w:tcW w:type="dxa" w:w="3300"/>
            <w:shd w:fill="E2D9C8" w:val="clear"/>
            <w:tcMar>
              <w:top w:type="dxa" w:w="100"/>
              <w:left w:type="dxa" w:w="100"/>
              <w:bottom w:type="dxa" w:w="100"/>
              <w:right w:type="dxa" w:w="100"/>
            </w:tcMar>
            <w:vAlign w:val="top"/>
          </w:tcPr>
          <w:p>
            <w:r>
              <w:rPr>
                <w:rFonts w:ascii="Calibri" w:cs="Calibri" w:eastAsia="Calibri" w:hAnsi="Calibri"/>
                <w:b/>
                <w:bCs/>
                <w:sz w:val="19"/>
                <w:szCs w:val="19"/>
              </w:rPr>
              <w:t xml:space="preserve">Examples of covered proceedings</w:t>
            </w:r>
          </w:p>
        </w:tc>
        <w:tc>
          <w:tcPr>
            <w:tcW w:type="dxa" w:w="3600"/>
            <w:shd w:fill="E2D9C8" w:val="clear"/>
            <w:tcMar>
              <w:top w:type="dxa" w:w="100"/>
              <w:left w:type="dxa" w:w="100"/>
              <w:bottom w:type="dxa" w:w="100"/>
              <w:right w:type="dxa" w:w="100"/>
            </w:tcMar>
            <w:vAlign w:val="top"/>
          </w:tcPr>
          <w:p>
            <w:r>
              <w:rPr>
                <w:rFonts w:ascii="Calibri" w:cs="Calibri" w:eastAsia="Calibri" w:hAnsi="Calibri"/>
                <w:b/>
                <w:bCs/>
                <w:sz w:val="19"/>
                <w:szCs w:val="19"/>
              </w:rPr>
              <w:t xml:space="preserve">Insurability position</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Work Health and Safety Act 2011 (and state equivalents)</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Prosecution for failing to ensure health and safety of workers</w:t>
            </w:r>
          </w:p>
        </w:tc>
        <w:tc>
          <w:tcPr>
            <w:tcW w:type="dxa" w:w="3600"/>
            <w:tcMar>
              <w:top w:type="dxa" w:w="100"/>
              <w:left w:type="dxa" w:w="100"/>
              <w:bottom w:type="dxa" w:w="100"/>
              <w:right w:type="dxa" w:w="100"/>
            </w:tcMar>
            <w:vAlign w:val="top"/>
          </w:tcPr>
          <w:p>
            <w:pPr>
              <w:spacing w:after="60"/>
            </w:pPr>
            <w:r>
              <w:rPr>
                <w:rFonts w:ascii="Calibri" w:cs="Calibri" w:eastAsia="Calibri" w:hAnsi="Calibri"/>
                <w:b/>
                <w:bCs/>
                <w:i w:val="false"/>
                <w:iCs w:val="false"/>
                <w:sz w:val="19"/>
                <w:szCs w:val="19"/>
              </w:rPr>
              <w:t xml:space="preserve">Fines and penalties are not insurable in most Australian jurisdictions</w:t>
            </w:r>
            <w:r>
              <w:rPr>
                <w:rFonts w:ascii="Calibri" w:cs="Calibri" w:eastAsia="Calibri" w:hAnsi="Calibri"/>
                <w:i w:val="false"/>
                <w:iCs w:val="false"/>
                <w:sz w:val="19"/>
                <w:szCs w:val="19"/>
              </w:rPr>
              <w:t xml:space="preserve"> — statutory bans apply in NSW, Victoria and Queensland, with the position converging nationally. Defence costs only — see D.6.</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Fair Work Act 2009</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Proceedings for breach of general protections, adverse action, sham contracting</w:t>
            </w:r>
          </w:p>
        </w:tc>
        <w:tc>
          <w:tcPr>
            <w:tcW w:type="dxa" w:w="3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Insurable fines and defence costs — see D.6.</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Privacy Act 1988</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Civil penalty proceedings by the OAIC</w:t>
            </w:r>
          </w:p>
        </w:tc>
        <w:tc>
          <w:tcPr>
            <w:tcW w:type="dxa" w:w="3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Insurable fines and defence costs — see D.6.</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Competition and Consumer Act 2010</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Civil proceedings for misleading or deceptive conduct, unconscionable conduct</w:t>
            </w:r>
          </w:p>
        </w:tc>
        <w:tc>
          <w:tcPr>
            <w:tcW w:type="dxa" w:w="3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Insurable fines and defence costs — see D.6.</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Corporations Act 2001</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Civil penalty proceedings for breach of directors' duties, insolvent trading</w:t>
            </w:r>
          </w:p>
        </w:tc>
        <w:tc>
          <w:tcPr>
            <w:tcW w:type="dxa" w:w="3600"/>
            <w:tcMar>
              <w:top w:type="dxa" w:w="100"/>
              <w:left w:type="dxa" w:w="100"/>
              <w:bottom w:type="dxa" w:w="100"/>
              <w:right w:type="dxa" w:w="100"/>
            </w:tcMar>
            <w:vAlign w:val="top"/>
          </w:tcPr>
          <w:p>
            <w:pPr>
              <w:spacing w:after="60"/>
            </w:pPr>
            <w:r>
              <w:rPr>
                <w:rFonts w:ascii="Calibri" w:cs="Calibri" w:eastAsia="Calibri" w:hAnsi="Calibri"/>
                <w:b/>
                <w:bCs/>
                <w:i w:val="false"/>
                <w:iCs w:val="false"/>
                <w:sz w:val="19"/>
                <w:szCs w:val="19"/>
              </w:rPr>
              <w:t xml:space="preserve">Section 199B prohibits insuring a pecuniary penalty order or compensation order, and certain defence costs where liability is established.</w:t>
            </w:r>
            <w:r>
              <w:rPr>
                <w:rFonts w:ascii="Calibri" w:cs="Calibri" w:eastAsia="Calibri" w:hAnsi="Calibri"/>
                <w:i w:val="false"/>
                <w:iCs w:val="false"/>
                <w:sz w:val="19"/>
                <w:szCs w:val="19"/>
              </w:rPr>
              <w:t xml:space="preserve"> Defence costs only, subject to D.9 — see D.6 and D.9.</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Environment Protection Acts (state/territory)</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Prosecution for breach of environmental licence conditions</w:t>
            </w:r>
          </w:p>
        </w:tc>
        <w:tc>
          <w:tcPr>
            <w:tcW w:type="dxa" w:w="3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Insurable fines and defence costs — see D.6.</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Anti-Money Laundering and Counter-Terrorism Financing Act 2006</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Civil penalty proceedings for compliance failures</w:t>
            </w:r>
          </w:p>
        </w:tc>
        <w:tc>
          <w:tcPr>
            <w:tcW w:type="dxa" w:w="3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Insurable fines and defence costs — see D.6.</w:t>
            </w:r>
          </w:p>
        </w:tc>
      </w:tr>
      <w:tr>
        <w:tc>
          <w:tcPr>
            <w:tcW w:type="dxa" w:w="2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Tax legislation</w:t>
            </w:r>
          </w:p>
        </w:tc>
        <w:tc>
          <w:tcPr>
            <w:tcW w:type="dxa" w:w="33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Penalty proceedings (not the underlying tax liability)</w:t>
            </w:r>
          </w:p>
        </w:tc>
        <w:tc>
          <w:tcPr>
            <w:tcW w:type="dxa" w:w="3600"/>
            <w:tcMar>
              <w:top w:type="dxa" w:w="100"/>
              <w:left w:type="dxa" w:w="100"/>
              <w:bottom w:type="dxa" w:w="100"/>
              <w:right w:type="dxa" w:w="100"/>
            </w:tcMar>
            <w:vAlign w:val="top"/>
          </w:tcPr>
          <w:p>
            <w:pPr>
              <w:spacing w:after="60"/>
            </w:pPr>
            <w:r>
              <w:rPr>
                <w:rFonts w:ascii="Calibri" w:cs="Calibri" w:eastAsia="Calibri" w:hAnsi="Calibri"/>
                <w:i w:val="false"/>
                <w:iCs w:val="false"/>
                <w:sz w:val="19"/>
                <w:szCs w:val="19"/>
              </w:rPr>
              <w:t xml:space="preserve">Insurable fines and defence costs — see D.6 and D.7.</w:t>
            </w:r>
          </w:p>
        </w:tc>
      </w:tr>
    </w:tbl>
    <w:p>
      <w:pPr>
        <w:spacing w:after="160"/>
      </w:pPr>
    </w:p>
    <w:p>
      <w:pPr>
        <w:spacing w:after="80" w:before="160"/>
      </w:pPr>
      <w:r>
        <w:rPr>
          <w:rFonts w:ascii="Calibri" w:cs="Calibri" w:eastAsia="Calibri" w:hAnsi="Calibri"/>
          <w:b/>
          <w:bCs/>
          <w:color w:val="1C1915"/>
          <w:sz w:val="22"/>
          <w:szCs w:val="22"/>
        </w:rPr>
        <w:t xml:space="preserve">D.2  WHS Defence Costs — Priority Cover</w:t>
      </w:r>
    </w:p>
    <w:p>
      <w:pPr>
        <w:spacing w:after="160"/>
        <w:jc w:val="both"/>
      </w:pPr>
      <w:r>
        <w:rPr>
          <w:rFonts w:ascii="Calibri" w:cs="Calibri" w:eastAsia="Calibri" w:hAnsi="Calibri"/>
          <w:i w:val="false"/>
          <w:iCs w:val="false"/>
          <w:sz w:val="21"/>
          <w:szCs w:val="21"/>
        </w:rPr>
        <w:t xml:space="preserve">We will advance defence costs for WHS prosecutions immediately upon notification, without requiring a formal coverage determination first. WHS prosecutions move quickly and the consequences are severe — we will not delay your defence.</w:t>
      </w:r>
    </w:p>
    <w:p>
      <w:pPr>
        <w:spacing w:after="160"/>
        <w:jc w:val="both"/>
      </w:pPr>
      <w:r>
        <w:rPr>
          <w:rFonts w:ascii="Calibri" w:cs="Calibri" w:eastAsia="Calibri" w:hAnsi="Calibri"/>
          <w:i w:val="false"/>
          <w:iCs w:val="false"/>
          <w:sz w:val="21"/>
          <w:szCs w:val="21"/>
        </w:rPr>
        <w:t xml:space="preserve">An increased sub-limit for WHS defence costs is available by endorsement — see E04.</w:t>
      </w:r>
    </w:p>
    <w:p>
      <w:pPr>
        <w:pStyle w:val="Heading2"/>
        <w:spacing w:after="100" w:before="240"/>
      </w:pPr>
      <w:r>
        <w:rPr>
          <w:rFonts w:ascii="Calibri" w:cs="Calibri" w:eastAsia="Calibri" w:hAnsi="Calibri"/>
          <w:b/>
          <w:bCs/>
          <w:color w:val="1C1915"/>
          <w:sz w:val="24"/>
          <w:szCs w:val="24"/>
        </w:rPr>
        <w:t xml:space="preserve">Extensions — Section D</w:t>
      </w:r>
    </w:p>
    <w:p>
      <w:pPr>
        <w:spacing w:after="80" w:before="160"/>
      </w:pPr>
      <w:r>
        <w:rPr>
          <w:rFonts w:ascii="Calibri" w:cs="Calibri" w:eastAsia="Calibri" w:hAnsi="Calibri"/>
          <w:b/>
          <w:bCs/>
          <w:color w:val="1C1915"/>
          <w:sz w:val="22"/>
          <w:szCs w:val="22"/>
        </w:rPr>
        <w:t xml:space="preserve">D.3  Environmental Clean-Up Costs</w:t>
      </w:r>
    </w:p>
    <w:p>
      <w:pPr>
        <w:spacing w:after="160"/>
        <w:jc w:val="both"/>
      </w:pPr>
      <w:r>
        <w:rPr>
          <w:rFonts w:ascii="Calibri" w:cs="Calibri" w:eastAsia="Calibri" w:hAnsi="Calibri"/>
          <w:i w:val="false"/>
          <w:iCs w:val="false"/>
          <w:sz w:val="21"/>
          <w:szCs w:val="21"/>
        </w:rPr>
        <w:t xml:space="preserve">If a regulator orders you to remediate environmental contamination arising from a wrongful act covered by this section, we will pay the reasonable clean-up costs — provided the contamination was not expected or intended by you.</w:t>
      </w:r>
    </w:p>
    <w:p>
      <w:pPr>
        <w:spacing w:after="80" w:before="160"/>
      </w:pPr>
      <w:r>
        <w:rPr>
          <w:rFonts w:ascii="Calibri" w:cs="Calibri" w:eastAsia="Calibri" w:hAnsi="Calibri"/>
          <w:b/>
          <w:bCs/>
          <w:color w:val="1C1915"/>
          <w:sz w:val="22"/>
          <w:szCs w:val="22"/>
        </w:rPr>
        <w:t xml:space="preserve">D.4  Extradition Costs (Regulatory)</w:t>
      </w:r>
    </w:p>
    <w:p>
      <w:pPr>
        <w:spacing w:after="160"/>
        <w:jc w:val="both"/>
      </w:pPr>
      <w:r>
        <w:rPr>
          <w:rFonts w:ascii="Calibri" w:cs="Calibri" w:eastAsia="Calibri" w:hAnsi="Calibri"/>
          <w:i w:val="false"/>
          <w:iCs w:val="false"/>
          <w:sz w:val="21"/>
          <w:szCs w:val="21"/>
        </w:rPr>
        <w:t xml:space="preserve">If an insured person faces extradition in connection with a statutory offence that would be covered by this section, we will pay their defence costs in resisting extradition.</w:t>
      </w:r>
    </w:p>
    <w:p>
      <w:pPr>
        <w:pStyle w:val="Heading2"/>
        <w:spacing w:after="100" w:before="240"/>
      </w:pPr>
      <w:r>
        <w:rPr>
          <w:rFonts w:ascii="Calibri" w:cs="Calibri" w:eastAsia="Calibri" w:hAnsi="Calibri"/>
          <w:b/>
          <w:bCs/>
          <w:color w:val="1C1915"/>
          <w:sz w:val="24"/>
          <w:szCs w:val="24"/>
        </w:rPr>
        <w:t xml:space="preserve">What Is Not Covered — Section D</w:t>
      </w:r>
    </w:p>
    <w:p>
      <w:pPr>
        <w:spacing w:after="80" w:before="160"/>
      </w:pPr>
      <w:r>
        <w:rPr>
          <w:rFonts w:ascii="Calibri" w:cs="Calibri" w:eastAsia="Calibri" w:hAnsi="Calibri"/>
          <w:b/>
          <w:bCs/>
          <w:color w:val="1C1915"/>
          <w:sz w:val="22"/>
          <w:szCs w:val="22"/>
        </w:rPr>
        <w:t xml:space="preserve">D.5  Criminal Conduct</w:t>
      </w:r>
    </w:p>
    <w:p>
      <w:pPr>
        <w:spacing w:after="160"/>
        <w:jc w:val="both"/>
      </w:pPr>
      <w:r>
        <w:rPr>
          <w:rFonts w:ascii="Calibri" w:cs="Calibri" w:eastAsia="Calibri" w:hAnsi="Calibri"/>
          <w:i w:val="false"/>
          <w:iCs w:val="false"/>
          <w:sz w:val="21"/>
          <w:szCs w:val="21"/>
        </w:rPr>
        <w:t xml:space="preserve">We do not cover fines or penalties arising from conduct that is determined by a final adjudication to be intentionally criminal — but we will advance defence costs until that determination is made.</w:t>
      </w:r>
    </w:p>
    <w:p>
      <w:pPr>
        <w:spacing w:after="160"/>
        <w:jc w:val="both"/>
      </w:pPr>
      <w:r>
        <w:rPr>
          <w:rFonts w:ascii="Calibri" w:cs="Calibri" w:eastAsia="Calibri" w:hAnsi="Calibri"/>
          <w:i w:val="false"/>
          <w:iCs w:val="false"/>
          <w:sz w:val="21"/>
          <w:szCs w:val="21"/>
        </w:rPr>
        <w:t xml:space="preserve">We will still cover the company and any insured person who did not personally commit, participate in, or know about the criminal conduct. This protection applies separately to each insured person.</w:t>
      </w:r>
    </w:p>
    <w:p>
      <w:pPr>
        <w:spacing w:after="80" w:before="160"/>
      </w:pPr>
      <w:r>
        <w:rPr>
          <w:rFonts w:ascii="Calibri" w:cs="Calibri" w:eastAsia="Calibri" w:hAnsi="Calibri"/>
          <w:b/>
          <w:bCs/>
          <w:color w:val="1C1915"/>
          <w:sz w:val="22"/>
          <w:szCs w:val="22"/>
        </w:rPr>
        <w:t xml:space="preserve">D.6  Uninsurable Penalties</w:t>
      </w:r>
    </w:p>
    <w:p>
      <w:pPr>
        <w:spacing w:after="160"/>
        <w:jc w:val="both"/>
      </w:pPr>
      <w:r>
        <w:rPr>
          <w:rFonts w:ascii="Calibri" w:cs="Calibri" w:eastAsia="Calibri" w:hAnsi="Calibri"/>
          <w:i w:val="false"/>
          <w:iCs w:val="false"/>
          <w:sz w:val="21"/>
          <w:szCs w:val="21"/>
        </w:rPr>
        <w:t xml:space="preserve">We do not cover any fine, penalty, or amount that is not insurable at law in the relevant jurisdiction. This includes (without limitation):</w:t>
      </w:r>
    </w:p>
    <w:p>
      <w:pPr>
        <w:spacing w:after="100"/>
        <w:ind w:left="431"/>
        <w:jc w:val="both"/>
      </w:pPr>
      <w:r>
        <w:rPr>
          <w:rFonts w:ascii="Calibri" w:cs="Calibri" w:eastAsia="Calibri" w:hAnsi="Calibri"/>
          <w:i w:val="false"/>
          <w:iCs w:val="false"/>
          <w:sz w:val="21"/>
          <w:szCs w:val="21"/>
        </w:rPr>
        <w:t xml:space="preserve">(a) fines and penalties for offences under the Work Health and Safety Act 2011 (and state and territory equivalents), which statute prohibits insuring in New South Wales, Victoria and Queensland (and which position is converging toward a national prohibition); and</w:t>
      </w:r>
    </w:p>
    <w:p>
      <w:pPr>
        <w:spacing w:after="100"/>
        <w:ind w:left="431"/>
        <w:jc w:val="both"/>
      </w:pPr>
      <w:r>
        <w:rPr>
          <w:rFonts w:ascii="Calibri" w:cs="Calibri" w:eastAsia="Calibri" w:hAnsi="Calibri"/>
          <w:i w:val="false"/>
          <w:iCs w:val="false"/>
          <w:sz w:val="21"/>
          <w:szCs w:val="21"/>
        </w:rPr>
        <w:t xml:space="preserve">(b) any pecuniary penalty order, compensation order, or related defence costs that section 199B of the Corporations Act 2001 prohibits us from insuring — see D.9.</w:t>
      </w:r>
    </w:p>
    <w:p>
      <w:pPr>
        <w:spacing w:after="160"/>
        <w:jc w:val="both"/>
      </w:pPr>
      <w:r>
        <w:rPr>
          <w:rFonts w:ascii="Calibri" w:cs="Calibri" w:eastAsia="Calibri" w:hAnsi="Calibri"/>
          <w:i w:val="false"/>
          <w:iCs w:val="false"/>
          <w:sz w:val="21"/>
          <w:szCs w:val="21"/>
        </w:rPr>
        <w:t xml:space="preserve">Australian law generally permits the insurance of civil penalties but not criminal penalties. Where insurability is uncertain, we will pay defence costs and resolve the question in consultation with you and your legal advisors.</w:t>
      </w:r>
    </w:p>
    <w:p>
      <w:pPr>
        <w:spacing w:after="80" w:before="160"/>
      </w:pPr>
      <w:r>
        <w:rPr>
          <w:rFonts w:ascii="Calibri" w:cs="Calibri" w:eastAsia="Calibri" w:hAnsi="Calibri"/>
          <w:b/>
          <w:bCs/>
          <w:color w:val="1C1915"/>
          <w:sz w:val="22"/>
          <w:szCs w:val="22"/>
        </w:rPr>
        <w:t xml:space="preserve">D.7  Tax and Revenue</w:t>
      </w:r>
    </w:p>
    <w:p>
      <w:pPr>
        <w:spacing w:after="160"/>
        <w:jc w:val="both"/>
      </w:pPr>
      <w:r>
        <w:rPr>
          <w:rFonts w:ascii="Calibri" w:cs="Calibri" w:eastAsia="Calibri" w:hAnsi="Calibri"/>
          <w:i w:val="false"/>
          <w:iCs w:val="false"/>
          <w:sz w:val="21"/>
          <w:szCs w:val="21"/>
        </w:rPr>
        <w:t xml:space="preserve">We do not cover the underlying tax, duty, or revenue liability itself — only the penalties and defence costs are covered.</w:t>
      </w:r>
    </w:p>
    <w:p>
      <w:pPr>
        <w:spacing w:after="80" w:before="160"/>
      </w:pPr>
      <w:r>
        <w:rPr>
          <w:rFonts w:ascii="Calibri" w:cs="Calibri" w:eastAsia="Calibri" w:hAnsi="Calibri"/>
          <w:b/>
          <w:bCs/>
          <w:color w:val="1C1915"/>
          <w:sz w:val="22"/>
          <w:szCs w:val="22"/>
        </w:rPr>
        <w:t xml:space="preserve">D.8  Workers' Compensation Premiums</w:t>
      </w:r>
    </w:p>
    <w:p>
      <w:pPr>
        <w:spacing w:after="160"/>
        <w:jc w:val="both"/>
      </w:pPr>
      <w:r>
        <w:rPr>
          <w:rFonts w:ascii="Calibri" w:cs="Calibri" w:eastAsia="Calibri" w:hAnsi="Calibri"/>
          <w:i w:val="false"/>
          <w:iCs w:val="false"/>
          <w:sz w:val="21"/>
          <w:szCs w:val="21"/>
        </w:rPr>
        <w:t xml:space="preserve">We do not cover any workers' compensation premium, levy, or contribution.</w:t>
      </w:r>
    </w:p>
    <w:p>
      <w:pPr>
        <w:spacing w:after="80" w:before="160"/>
      </w:pPr>
      <w:r>
        <w:rPr>
          <w:rFonts w:ascii="Calibri" w:cs="Calibri" w:eastAsia="Calibri" w:hAnsi="Calibri"/>
          <w:b/>
          <w:bCs/>
          <w:color w:val="1C1915"/>
          <w:sz w:val="22"/>
          <w:szCs w:val="22"/>
        </w:rPr>
        <w:t xml:space="preserve">D.9  Corporations Act 2001 — Sections 199A and 199B</w:t>
      </w:r>
    </w:p>
    <w:p>
      <w:pPr>
        <w:spacing w:after="160"/>
        <w:jc w:val="both"/>
      </w:pPr>
      <w:r>
        <w:rPr>
          <w:rFonts w:ascii="Calibri" w:cs="Calibri" w:eastAsia="Calibri" w:hAnsi="Calibri"/>
          <w:i w:val="false"/>
          <w:iCs w:val="false"/>
          <w:sz w:val="21"/>
          <w:szCs w:val="21"/>
        </w:rPr>
        <w:t xml:space="preserve">Section 199A of the Corporations Act 2001 restricts the circumstances in which the company may indemnify an insured person. Section 199B separately prohibits the company from paying, and prohibits us from providing, insurance in respect of a liability of an insured person for a pecuniary penalty order or compensation order made under the Act's civil penalty provisions, and in respect of certain legal costs where the person is ultimately found to have contravened those provisions.</w:t>
      </w:r>
    </w:p>
    <w:p>
      <w:pPr>
        <w:spacing w:after="160"/>
        <w:jc w:val="both"/>
      </w:pPr>
      <w:r>
        <w:rPr>
          <w:rFonts w:ascii="Calibri" w:cs="Calibri" w:eastAsia="Calibri" w:hAnsi="Calibri"/>
          <w:i w:val="false"/>
          <w:iCs w:val="false"/>
          <w:sz w:val="21"/>
          <w:szCs w:val="21"/>
        </w:rPr>
        <w:t xml:space="preserve">This clause applies wherever a claim under any section of this policy involves a civil penalty proceeding, criminal proceeding, or compensation order proceeding under the Corporations Act 2001 — including a claim allocated to Section A under the "most favourable cover" rule in About This Policy.</w:t>
      </w:r>
    </w:p>
    <w:p>
      <w:pPr>
        <w:spacing w:after="100"/>
        <w:ind w:left="431"/>
        <w:jc w:val="both"/>
      </w:pPr>
      <w:r>
        <w:rPr>
          <w:rFonts w:ascii="Calibri" w:cs="Calibri" w:eastAsia="Calibri" w:hAnsi="Calibri"/>
          <w:i w:val="false"/>
          <w:iCs w:val="false"/>
          <w:sz w:val="21"/>
          <w:szCs w:val="21"/>
        </w:rPr>
        <w:t xml:space="preserve">(a) we will pay insurable fines, penalties and defence costs only to the extent permitted by section 199B and any other applicable law;</w:t>
      </w:r>
    </w:p>
    <w:p>
      <w:pPr>
        <w:spacing w:after="100"/>
        <w:ind w:left="431"/>
        <w:jc w:val="both"/>
      </w:pPr>
      <w:r>
        <w:rPr>
          <w:rFonts w:ascii="Calibri" w:cs="Calibri" w:eastAsia="Calibri" w:hAnsi="Calibri"/>
          <w:i w:val="false"/>
          <w:iCs w:val="false"/>
          <w:sz w:val="21"/>
          <w:szCs w:val="21"/>
        </w:rPr>
        <w:t xml:space="preserve">(b) we will advance defence costs as they are incurred, on the same basis as G.4 (Defence Costs); and</w:t>
      </w:r>
    </w:p>
    <w:p>
      <w:pPr>
        <w:spacing w:after="100"/>
        <w:ind w:left="431"/>
        <w:jc w:val="both"/>
      </w:pPr>
      <w:r>
        <w:rPr>
          <w:rFonts w:ascii="Calibri" w:cs="Calibri" w:eastAsia="Calibri" w:hAnsi="Calibri"/>
          <w:i w:val="false"/>
          <w:iCs w:val="false"/>
          <w:sz w:val="21"/>
          <w:szCs w:val="21"/>
        </w:rPr>
        <w:t xml:space="preserve">(c) if the insured person is convicted of an offence, or a court makes a declaration of contravention against them and does not grant relief under section 1317S or section 1318 of the Corporations Act 2001, you and the insured person must repay any defence costs we have advanced in connection with that finding, to the extent section 199B prohibits us from paying them.</w:t>
      </w:r>
    </w:p>
    <w:p>
      <w:pPr>
        <w:spacing w:after="160"/>
        <w:ind w:left="431"/>
      </w:pPr>
      <w:r>
        <w:rPr>
          <w:rFonts w:ascii="Calibri" w:cs="Calibri" w:eastAsia="Calibri" w:hAnsi="Calibri"/>
          <w:b/>
          <w:bCs/>
          <w:i/>
          <w:iCs/>
          <w:color w:val="1C1915"/>
          <w:sz w:val="20"/>
          <w:szCs w:val="20"/>
        </w:rPr>
        <w:t xml:space="preserve"/>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E Crime</w:t>
      </w:r>
    </w:p>
    <w:p>
      <w:pPr>
        <w:spacing w:after="160"/>
        <w:jc w:val="both"/>
      </w:pPr>
      <w:r>
        <w:rPr>
          <w:rFonts w:ascii="Calibri" w:cs="Calibri" w:eastAsia="Calibri" w:hAnsi="Calibri"/>
          <w:i w:val="false"/>
          <w:iCs w:val="false"/>
          <w:sz w:val="21"/>
          <w:szCs w:val="21"/>
        </w:rPr>
        <w:t xml:space="preserve">This section must be marked "Included" in the schedule to be operative.</w:t>
      </w:r>
    </w:p>
    <w:p>
      <w:pPr>
        <w:pStyle w:val="Heading2"/>
        <w:spacing w:after="100" w:before="240"/>
      </w:pPr>
      <w:r>
        <w:rPr>
          <w:rFonts w:ascii="Calibri" w:cs="Calibri" w:eastAsia="Calibri" w:hAnsi="Calibri"/>
          <w:b/>
          <w:bCs/>
          <w:color w:val="1C1915"/>
          <w:sz w:val="24"/>
          <w:szCs w:val="24"/>
        </w:rPr>
        <w:t xml:space="preserve">Additional Definitions — Section 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300"/>
        <w:gridCol w:w="7200"/>
      </w:tblGrid>
      <w:tr>
        <w:trPr>
          <w:tblHeader/>
        </w:trPr>
        <w:tc>
          <w:tcPr>
            <w:tcW w:type="dxa" w:w="23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Term</w:t>
            </w:r>
          </w:p>
        </w:tc>
        <w:tc>
          <w:tcPr>
            <w:tcW w:type="dxa" w:w="72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Meaning</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Dishonest act</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an act committed by an employee with the clear intention of: (a) causing the company direct financial loss; and (b) obtaining a personal financial benefit for the employee beyond their normal salary, wages, bonus, commission, or other agreed compensation.</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Crime Loss</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means the direct financial loss the company sustains as a direct result of a dishonest act covered under E.1, calculated in accordance with E.2. It does not include indirect or consequential loss (see E.5). </w:t>
            </w:r>
            <w:r>
              <w:rPr>
                <w:rFonts w:ascii="Calibri" w:cs="Calibri" w:eastAsia="Calibri" w:hAnsi="Calibri"/>
                <w:b/>
                <w:bCs/>
                <w:i w:val="false"/>
                <w:iCs w:val="false"/>
                <w:sz w:val="20"/>
                <w:szCs w:val="20"/>
              </w:rPr>
              <w:t xml:space="preserve">This definition applies in place of the general Loss definition in Section 1 for the purposes of this Section E.</w:t>
            </w:r>
            <w:r>
              <w:rPr>
                <w:rFonts w:ascii="Calibri" w:cs="Calibri" w:eastAsia="Calibri" w:hAnsi="Calibri"/>
                <w:i w:val="false"/>
                <w:iCs w:val="false"/>
                <w:sz w:val="20"/>
                <w:szCs w:val="20"/>
              </w:rPr>
              <w:t xml:space="preserve"> References elsewhere in this policy to "claim or Crime Loss" (for example, in the Excess definition, G.1, and G.7) include a Crime Loss under this Section.</w:t>
            </w:r>
          </w:p>
        </w:tc>
      </w:tr>
    </w:tbl>
    <w:p>
      <w:pPr>
        <w:pStyle w:val="Heading2"/>
        <w:spacing w:after="100" w:before="240"/>
      </w:pPr>
      <w:r>
        <w:rPr>
          <w:rFonts w:ascii="Calibri" w:cs="Calibri" w:eastAsia="Calibri" w:hAnsi="Calibri"/>
          <w:b/>
          <w:bCs/>
          <w:color w:val="1C1915"/>
          <w:sz w:val="24"/>
          <w:szCs w:val="24"/>
        </w:rPr>
        <w:t xml:space="preserve">What Is Covered</w:t>
      </w:r>
    </w:p>
    <w:p>
      <w:pPr>
        <w:spacing w:after="80" w:before="160"/>
      </w:pPr>
      <w:r>
        <w:rPr>
          <w:rFonts w:ascii="Calibri" w:cs="Calibri" w:eastAsia="Calibri" w:hAnsi="Calibri"/>
          <w:b/>
          <w:bCs/>
          <w:color w:val="1C1915"/>
          <w:sz w:val="22"/>
          <w:szCs w:val="22"/>
        </w:rPr>
        <w:t xml:space="preserve">E.1  Employee Dishonesty</w:t>
      </w:r>
    </w:p>
    <w:p>
      <w:pPr>
        <w:spacing w:after="160"/>
        <w:jc w:val="both"/>
      </w:pPr>
      <w:r>
        <w:rPr>
          <w:rFonts w:ascii="Calibri" w:cs="Calibri" w:eastAsia="Calibri" w:hAnsi="Calibri"/>
          <w:i w:val="false"/>
          <w:iCs w:val="false"/>
          <w:sz w:val="21"/>
          <w:szCs w:val="21"/>
        </w:rPr>
        <w:t xml:space="preserve">If during the policy period you discover that an employee has caused you a Crime Loss through a dishonest act, we will pay the Crime Loss.</w:t>
      </w:r>
    </w:p>
    <w:p>
      <w:pPr>
        <w:spacing w:after="160"/>
        <w:jc w:val="both"/>
      </w:pPr>
      <w:r>
        <w:rPr>
          <w:rFonts w:ascii="Calibri" w:cs="Calibri" w:eastAsia="Calibri" w:hAnsi="Calibri"/>
          <w:i w:val="false"/>
          <w:iCs w:val="false"/>
          <w:sz w:val="21"/>
          <w:szCs w:val="21"/>
        </w:rPr>
        <w:t xml:space="preserve">This covers:</w:t>
      </w:r>
    </w:p>
    <w:p>
      <w:pPr>
        <w:spacing w:after="100"/>
        <w:ind w:left="431"/>
        <w:jc w:val="both"/>
      </w:pPr>
      <w:r>
        <w:rPr>
          <w:rFonts w:ascii="Calibri" w:cs="Calibri" w:eastAsia="Calibri" w:hAnsi="Calibri"/>
          <w:i w:val="false"/>
          <w:iCs w:val="false"/>
          <w:sz w:val="21"/>
          <w:szCs w:val="21"/>
        </w:rPr>
        <w:t xml:space="preserve">(a) theft of money, securities, or tangible property by an employee;</w:t>
      </w:r>
    </w:p>
    <w:p>
      <w:pPr>
        <w:spacing w:after="100"/>
        <w:ind w:left="431"/>
        <w:jc w:val="both"/>
      </w:pPr>
      <w:r>
        <w:rPr>
          <w:rFonts w:ascii="Calibri" w:cs="Calibri" w:eastAsia="Calibri" w:hAnsi="Calibri"/>
          <w:i w:val="false"/>
          <w:iCs w:val="false"/>
          <w:sz w:val="21"/>
          <w:szCs w:val="21"/>
        </w:rPr>
        <w:t xml:space="preserve">(b) fraudulent alteration or forgery of documents, cheques, or electronic records by an employee;</w:t>
      </w:r>
    </w:p>
    <w:p>
      <w:pPr>
        <w:spacing w:after="100"/>
        <w:ind w:left="431"/>
        <w:jc w:val="both"/>
      </w:pPr>
      <w:r>
        <w:rPr>
          <w:rFonts w:ascii="Calibri" w:cs="Calibri" w:eastAsia="Calibri" w:hAnsi="Calibri"/>
          <w:i w:val="false"/>
          <w:iCs w:val="false"/>
          <w:sz w:val="21"/>
          <w:szCs w:val="21"/>
        </w:rPr>
        <w:t xml:space="preserve">(c) fraudulent electronic funds transfer by an employee; and</w:t>
      </w:r>
    </w:p>
    <w:p>
      <w:pPr>
        <w:spacing w:after="100"/>
        <w:ind w:left="431"/>
        <w:jc w:val="both"/>
      </w:pPr>
      <w:r>
        <w:rPr>
          <w:rFonts w:ascii="Calibri" w:cs="Calibri" w:eastAsia="Calibri" w:hAnsi="Calibri"/>
          <w:i w:val="false"/>
          <w:iCs w:val="false"/>
          <w:sz w:val="21"/>
          <w:szCs w:val="21"/>
        </w:rPr>
        <w:t xml:space="preserve">(d) deliberate destruction of property or data by an employee with the intent to conceal a dishonest act.</w:t>
      </w:r>
    </w:p>
    <w:p>
      <w:pPr>
        <w:spacing w:after="160"/>
        <w:jc w:val="both"/>
      </w:pPr>
      <w:r>
        <w:rPr>
          <w:rFonts w:ascii="Calibri" w:cs="Calibri" w:eastAsia="Calibri" w:hAnsi="Calibri"/>
          <w:i w:val="false"/>
          <w:iCs w:val="false"/>
          <w:sz w:val="21"/>
          <w:szCs w:val="21"/>
        </w:rPr>
        <w:t xml:space="preserve">You must discover the loss during the policy period and notify us within 60 days of discovery.</w:t>
      </w:r>
    </w:p>
    <w:p>
      <w:pPr>
        <w:spacing w:after="80" w:before="160"/>
      </w:pPr>
      <w:r>
        <w:rPr>
          <w:rFonts w:ascii="Calibri" w:cs="Calibri" w:eastAsia="Calibri" w:hAnsi="Calibri"/>
          <w:b/>
          <w:bCs/>
          <w:color w:val="1C1915"/>
          <w:sz w:val="22"/>
          <w:szCs w:val="22"/>
        </w:rPr>
        <w:t xml:space="preserve">E.2  How We Calculate the Crime Loss</w:t>
      </w:r>
    </w:p>
    <w:p>
      <w:pPr>
        <w:spacing w:after="160"/>
        <w:jc w:val="both"/>
      </w:pPr>
      <w:r>
        <w:rPr>
          <w:rFonts w:ascii="Calibri" w:cs="Calibri" w:eastAsia="Calibri" w:hAnsi="Calibri"/>
          <w:i w:val="false"/>
          <w:iCs w:val="false"/>
          <w:sz w:val="21"/>
          <w:szCs w:val="21"/>
        </w:rPr>
        <w:t xml:space="preserve">We will calculate the Crime Loss by deducting from the amount you have lost:</w:t>
      </w:r>
    </w:p>
    <w:p>
      <w:pPr>
        <w:spacing w:after="100"/>
        <w:ind w:left="431"/>
        <w:jc w:val="both"/>
      </w:pPr>
      <w:r>
        <w:rPr>
          <w:rFonts w:ascii="Calibri" w:cs="Calibri" w:eastAsia="Calibri" w:hAnsi="Calibri"/>
          <w:i w:val="false"/>
          <w:iCs w:val="false"/>
          <w:sz w:val="21"/>
          <w:szCs w:val="21"/>
        </w:rPr>
        <w:t xml:space="preserve">(a) any money or property recovered from the employee or any third party;</w:t>
      </w:r>
    </w:p>
    <w:p>
      <w:pPr>
        <w:spacing w:after="100"/>
        <w:ind w:left="431"/>
        <w:jc w:val="both"/>
      </w:pPr>
      <w:r>
        <w:rPr>
          <w:rFonts w:ascii="Calibri" w:cs="Calibri" w:eastAsia="Calibri" w:hAnsi="Calibri"/>
          <w:i w:val="false"/>
          <w:iCs w:val="false"/>
          <w:sz w:val="21"/>
          <w:szCs w:val="21"/>
        </w:rPr>
        <w:t xml:space="preserve">(b) any amounts the employee owes you (whether or not related to the dishonest act); and</w:t>
      </w:r>
    </w:p>
    <w:p>
      <w:pPr>
        <w:spacing w:after="100"/>
        <w:ind w:left="431"/>
        <w:jc w:val="both"/>
      </w:pPr>
      <w:r>
        <w:rPr>
          <w:rFonts w:ascii="Calibri" w:cs="Calibri" w:eastAsia="Calibri" w:hAnsi="Calibri"/>
          <w:i w:val="false"/>
          <w:iCs w:val="false"/>
          <w:sz w:val="21"/>
          <w:szCs w:val="21"/>
        </w:rPr>
        <w:t xml:space="preserve">(c) the value of any property of the employee that you hold.</w:t>
      </w:r>
    </w:p>
    <w:p>
      <w:pPr>
        <w:pStyle w:val="Heading2"/>
        <w:spacing w:after="100" w:before="240"/>
      </w:pPr>
      <w:r>
        <w:rPr>
          <w:rFonts w:ascii="Calibri" w:cs="Calibri" w:eastAsia="Calibri" w:hAnsi="Calibri"/>
          <w:b/>
          <w:bCs/>
          <w:color w:val="1C1915"/>
          <w:sz w:val="24"/>
          <w:szCs w:val="24"/>
        </w:rPr>
        <w:t xml:space="preserve">Extensions — Section E</w:t>
      </w:r>
    </w:p>
    <w:p>
      <w:pPr>
        <w:spacing w:after="80" w:before="160"/>
      </w:pPr>
      <w:r>
        <w:rPr>
          <w:rFonts w:ascii="Calibri" w:cs="Calibri" w:eastAsia="Calibri" w:hAnsi="Calibri"/>
          <w:b/>
          <w:bCs/>
          <w:color w:val="1C1915"/>
          <w:sz w:val="22"/>
          <w:szCs w:val="22"/>
        </w:rPr>
        <w:t xml:space="preserve">E.3  Forensic Accounting Costs</w:t>
      </w:r>
    </w:p>
    <w:p>
      <w:pPr>
        <w:spacing w:after="160"/>
        <w:jc w:val="both"/>
      </w:pPr>
      <w:r>
        <w:rPr>
          <w:rFonts w:ascii="Calibri" w:cs="Calibri" w:eastAsia="Calibri" w:hAnsi="Calibri"/>
          <w:i w:val="false"/>
          <w:iCs w:val="false"/>
          <w:sz w:val="21"/>
          <w:szCs w:val="21"/>
        </w:rPr>
        <w:t xml:space="preserve">We will pay the reasonable costs of engaging a forensic accountant to determine the extent of a Crime Loss covered by this section, with our prior consent.</w:t>
      </w:r>
    </w:p>
    <w:p>
      <w:pPr>
        <w:spacing w:after="80" w:before="160"/>
      </w:pPr>
      <w:r>
        <w:rPr>
          <w:rFonts w:ascii="Calibri" w:cs="Calibri" w:eastAsia="Calibri" w:hAnsi="Calibri"/>
          <w:b/>
          <w:bCs/>
          <w:color w:val="1C1915"/>
          <w:sz w:val="22"/>
          <w:szCs w:val="22"/>
        </w:rPr>
        <w:t xml:space="preserve">E.4  Reconstitution of Records</w:t>
      </w:r>
    </w:p>
    <w:p>
      <w:pPr>
        <w:spacing w:after="160"/>
        <w:jc w:val="both"/>
      </w:pPr>
      <w:r>
        <w:rPr>
          <w:rFonts w:ascii="Calibri" w:cs="Calibri" w:eastAsia="Calibri" w:hAnsi="Calibri"/>
          <w:i w:val="false"/>
          <w:iCs w:val="false"/>
          <w:sz w:val="21"/>
          <w:szCs w:val="21"/>
        </w:rPr>
        <w:t xml:space="preserve">If an employee destroys or alters your financial records to conceal a dishonest act, we will pay the reasonable costs of reconstructing those records.</w:t>
      </w:r>
    </w:p>
    <w:p>
      <w:pPr>
        <w:spacing w:after="160"/>
        <w:jc w:val="both"/>
      </w:pPr>
      <w:r>
        <w:rPr>
          <w:rFonts w:ascii="Calibri" w:cs="Calibri" w:eastAsia="Calibri" w:hAnsi="Calibri"/>
          <w:i w:val="false"/>
          <w:iCs w:val="false"/>
          <w:sz w:val="21"/>
          <w:szCs w:val="21"/>
        </w:rPr>
        <w:t xml:space="preserve">Section E can be extended to cover social engineering fraud and third-party (non-employee) dishonesty by endorsement — see E07 and E08.</w:t>
      </w:r>
    </w:p>
    <w:p>
      <w:pPr>
        <w:pStyle w:val="Heading2"/>
        <w:spacing w:after="100" w:before="240"/>
      </w:pPr>
      <w:r>
        <w:rPr>
          <w:rFonts w:ascii="Calibri" w:cs="Calibri" w:eastAsia="Calibri" w:hAnsi="Calibri"/>
          <w:b/>
          <w:bCs/>
          <w:color w:val="1C1915"/>
          <w:sz w:val="24"/>
          <w:szCs w:val="24"/>
        </w:rPr>
        <w:t xml:space="preserve">What Is Not Covered — Section E</w:t>
      </w:r>
    </w:p>
    <w:p>
      <w:pPr>
        <w:spacing w:after="80" w:before="160"/>
      </w:pPr>
      <w:r>
        <w:rPr>
          <w:rFonts w:ascii="Calibri" w:cs="Calibri" w:eastAsia="Calibri" w:hAnsi="Calibri"/>
          <w:b/>
          <w:bCs/>
          <w:color w:val="1C1915"/>
          <w:sz w:val="22"/>
          <w:szCs w:val="22"/>
        </w:rPr>
        <w:t xml:space="preserve">E.5  Indirect and Consequential Loss</w:t>
      </w:r>
    </w:p>
    <w:p>
      <w:pPr>
        <w:spacing w:after="160"/>
        <w:jc w:val="both"/>
      </w:pPr>
      <w:r>
        <w:rPr>
          <w:rFonts w:ascii="Calibri" w:cs="Calibri" w:eastAsia="Calibri" w:hAnsi="Calibri"/>
          <w:i w:val="false"/>
          <w:iCs w:val="false"/>
          <w:sz w:val="21"/>
          <w:szCs w:val="21"/>
        </w:rPr>
        <w:t xml:space="preserve">We do not cover loss of income, loss of profit, business interruption, or any indirect or consequential loss arising from the dishonest act — these are not part of the Crime Loss; only the direct financial loss is covered.</w:t>
      </w:r>
    </w:p>
    <w:p>
      <w:pPr>
        <w:spacing w:after="80" w:before="160"/>
      </w:pPr>
      <w:r>
        <w:rPr>
          <w:rFonts w:ascii="Calibri" w:cs="Calibri" w:eastAsia="Calibri" w:hAnsi="Calibri"/>
          <w:b/>
          <w:bCs/>
          <w:color w:val="1C1915"/>
          <w:sz w:val="22"/>
          <w:szCs w:val="22"/>
        </w:rPr>
        <w:t xml:space="preserve">E.6  Directors' and Officers' Dishonesty</w:t>
      </w:r>
    </w:p>
    <w:p>
      <w:pPr>
        <w:spacing w:after="160"/>
        <w:jc w:val="both"/>
      </w:pPr>
      <w:r>
        <w:rPr>
          <w:rFonts w:ascii="Calibri" w:cs="Calibri" w:eastAsia="Calibri" w:hAnsi="Calibri"/>
          <w:i w:val="false"/>
          <w:iCs w:val="false"/>
          <w:sz w:val="21"/>
          <w:szCs w:val="21"/>
        </w:rPr>
        <w:t xml:space="preserve">We do not cover a dishonest act committed by an insured person who is a director or officer and also a shareholder holding 15% or more of the company's issued shares.</w:t>
      </w:r>
    </w:p>
    <w:p>
      <w:pPr>
        <w:spacing w:after="80" w:before="160"/>
      </w:pPr>
      <w:r>
        <w:rPr>
          <w:rFonts w:ascii="Calibri" w:cs="Calibri" w:eastAsia="Calibri" w:hAnsi="Calibri"/>
          <w:b/>
          <w:bCs/>
          <w:color w:val="1C1915"/>
          <w:sz w:val="22"/>
          <w:szCs w:val="22"/>
        </w:rPr>
        <w:t xml:space="preserve">E.7  Discovered Before This Policy</w:t>
      </w:r>
    </w:p>
    <w:p>
      <w:pPr>
        <w:spacing w:after="160"/>
        <w:jc w:val="both"/>
      </w:pPr>
      <w:r>
        <w:rPr>
          <w:rFonts w:ascii="Calibri" w:cs="Calibri" w:eastAsia="Calibri" w:hAnsi="Calibri"/>
          <w:i w:val="false"/>
          <w:iCs w:val="false"/>
          <w:sz w:val="21"/>
          <w:szCs w:val="21"/>
        </w:rPr>
        <w:t xml:space="preserve">We do not cover any Crime Loss arising from a dishonest act that you discovered, or ought reasonably to have discovered, before the start of this policy period.</w:t>
      </w:r>
    </w:p>
    <w:p>
      <w:pPr>
        <w:spacing w:after="80" w:before="160"/>
      </w:pPr>
      <w:r>
        <w:rPr>
          <w:rFonts w:ascii="Calibri" w:cs="Calibri" w:eastAsia="Calibri" w:hAnsi="Calibri"/>
          <w:b/>
          <w:bCs/>
          <w:color w:val="1C1915"/>
          <w:sz w:val="22"/>
          <w:szCs w:val="22"/>
        </w:rPr>
        <w:t xml:space="preserve">E.8  Trading Losses</w:t>
      </w:r>
    </w:p>
    <w:p>
      <w:pPr>
        <w:spacing w:after="160"/>
        <w:jc w:val="both"/>
      </w:pPr>
      <w:r>
        <w:rPr>
          <w:rFonts w:ascii="Calibri" w:cs="Calibri" w:eastAsia="Calibri" w:hAnsi="Calibri"/>
          <w:i w:val="false"/>
          <w:iCs w:val="false"/>
          <w:sz w:val="21"/>
          <w:szCs w:val="21"/>
        </w:rPr>
        <w:t xml:space="preserve">We do not cover Crime Loss arising from trading, whether authorised or unauthorised, in shares, securities, commodities, derivatives, or other financial instruments — even if the trading was dishonest.</w:t>
      </w:r>
    </w:p>
    <w:p>
      <w:pPr>
        <w:pStyle w:val="Heading2"/>
        <w:spacing w:after="100" w:before="240"/>
      </w:pPr>
      <w:r>
        <w:rPr>
          <w:rFonts w:ascii="Calibri" w:cs="Calibri" w:eastAsia="Calibri" w:hAnsi="Calibri"/>
          <w:b/>
          <w:bCs/>
          <w:color w:val="1C1915"/>
          <w:sz w:val="24"/>
          <w:szCs w:val="24"/>
        </w:rPr>
        <w:t xml:space="preserve">Other Provisions — Section E</w:t>
      </w:r>
    </w:p>
    <w:p>
      <w:pPr>
        <w:spacing w:after="80" w:before="160"/>
      </w:pPr>
      <w:r>
        <w:rPr>
          <w:rFonts w:ascii="Calibri" w:cs="Calibri" w:eastAsia="Calibri" w:hAnsi="Calibri"/>
          <w:b/>
          <w:bCs/>
          <w:color w:val="1C1915"/>
          <w:sz w:val="22"/>
          <w:szCs w:val="22"/>
        </w:rPr>
        <w:t xml:space="preserve">E.9  Extended Discovery Period</w:t>
      </w:r>
    </w:p>
    <w:p>
      <w:pPr>
        <w:spacing w:after="160"/>
        <w:jc w:val="both"/>
      </w:pPr>
      <w:r>
        <w:rPr>
          <w:rFonts w:ascii="Calibri" w:cs="Calibri" w:eastAsia="Calibri" w:hAnsi="Calibri"/>
          <w:i w:val="false"/>
          <w:iCs w:val="false"/>
          <w:sz w:val="21"/>
          <w:szCs w:val="21"/>
        </w:rPr>
        <w:t xml:space="preserve">If this policy is not renewed for any reason other than replacement by another crime or management liability policy providing equivalent cover, or is cancelled by you or by us, and the non-renewal or cancellation is not caused by non-payment of premium, you have an automatic Extended Discovery Period of 90 days after the end of the policy period to discover and notify us of a dishonest act that occurred before the end of the policy period.</w:t>
      </w:r>
    </w:p>
    <w:p>
      <w:pPr>
        <w:spacing w:after="160"/>
        <w:jc w:val="both"/>
      </w:pPr>
      <w:r>
        <w:rPr>
          <w:rFonts w:ascii="Calibri" w:cs="Calibri" w:eastAsia="Calibri" w:hAnsi="Calibri"/>
          <w:i w:val="false"/>
          <w:iCs w:val="false"/>
          <w:sz w:val="21"/>
          <w:szCs w:val="21"/>
        </w:rPr>
        <w:t xml:space="preserve">You may purchase an Extended Discovery Period of up to 36 months for an additional premium, on the same basis as I.6 (Extended Reporting Period). You must request this within 30 days of the end of the policy period. Where you have purchased an extension under both this clause and I.6, the longer period applies to a Crime Loss.</w:t>
      </w:r>
    </w:p>
    <w:p>
      <w:pPr>
        <w:spacing w:after="160"/>
        <w:jc w:val="both"/>
      </w:pPr>
      <w:r>
        <w:rPr>
          <w:rFonts w:ascii="Calibri" w:cs="Calibri" w:eastAsia="Calibri" w:hAnsi="Calibri"/>
          <w:i w:val="false"/>
          <w:iCs w:val="false"/>
          <w:sz w:val="21"/>
          <w:szCs w:val="21"/>
        </w:rPr>
        <w:t xml:space="preserve">This clause does not extend the period during which a dishonest act must have occurred — only the period to discover and notify it.</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F General Exclusions</w:t>
      </w:r>
    </w:p>
    <w:p>
      <w:pPr>
        <w:spacing w:after="160"/>
        <w:jc w:val="both"/>
      </w:pPr>
      <w:r>
        <w:rPr>
          <w:rFonts w:ascii="Calibri" w:cs="Calibri" w:eastAsia="Calibri" w:hAnsi="Calibri"/>
          <w:i w:val="false"/>
          <w:iCs w:val="false"/>
          <w:sz w:val="21"/>
          <w:szCs w:val="21"/>
        </w:rPr>
        <w:t xml:space="preserve">The following exclusions apply to all operative sections of this policy.</w:t>
      </w:r>
    </w:p>
    <w:p>
      <w:pPr>
        <w:spacing w:after="80" w:before="160"/>
      </w:pPr>
      <w:r>
        <w:rPr>
          <w:rFonts w:ascii="Calibri" w:cs="Calibri" w:eastAsia="Calibri" w:hAnsi="Calibri"/>
          <w:b/>
          <w:bCs/>
          <w:color w:val="1C1915"/>
          <w:sz w:val="22"/>
          <w:szCs w:val="22"/>
        </w:rPr>
        <w:t xml:space="preserve">F.1  War and Terrorism</w:t>
      </w:r>
    </w:p>
    <w:p>
      <w:pPr>
        <w:spacing w:after="160"/>
        <w:jc w:val="both"/>
      </w:pPr>
      <w:r>
        <w:rPr>
          <w:rFonts w:ascii="Calibri" w:cs="Calibri" w:eastAsia="Calibri" w:hAnsi="Calibri"/>
          <w:i w:val="false"/>
          <w:iCs w:val="false"/>
          <w:sz w:val="21"/>
          <w:szCs w:val="21"/>
        </w:rPr>
        <w:t xml:space="preserve">We do not cover any claim, loss, or liability arising from:</w:t>
      </w:r>
    </w:p>
    <w:p>
      <w:pPr>
        <w:spacing w:after="100"/>
        <w:ind w:left="431"/>
        <w:jc w:val="both"/>
      </w:pPr>
      <w:r>
        <w:rPr>
          <w:rFonts w:ascii="Calibri" w:cs="Calibri" w:eastAsia="Calibri" w:hAnsi="Calibri"/>
          <w:i w:val="false"/>
          <w:iCs w:val="false"/>
          <w:sz w:val="21"/>
          <w:szCs w:val="21"/>
        </w:rPr>
        <w:t xml:space="preserve">(a) war (whether or not declared), invasion, hostilities, rebellion, revolution, insurrection, civil unrest, or the use or usurpation of military power, or any similar belligerent act; or</w:t>
      </w:r>
    </w:p>
    <w:p>
      <w:pPr>
        <w:spacing w:after="100"/>
        <w:ind w:left="431"/>
        <w:jc w:val="both"/>
      </w:pPr>
      <w:r>
        <w:rPr>
          <w:rFonts w:ascii="Calibri" w:cs="Calibri" w:eastAsia="Calibri" w:hAnsi="Calibri"/>
          <w:i w:val="false"/>
          <w:iCs w:val="false"/>
          <w:sz w:val="21"/>
          <w:szCs w:val="21"/>
        </w:rPr>
        <w:t xml:space="preserve">(b) terrorism, as defined by any relevant Australian or foreign law.</w:t>
      </w:r>
    </w:p>
    <w:p>
      <w:pPr>
        <w:spacing w:after="80" w:before="160"/>
      </w:pPr>
      <w:r>
        <w:rPr>
          <w:rFonts w:ascii="Calibri" w:cs="Calibri" w:eastAsia="Calibri" w:hAnsi="Calibri"/>
          <w:b/>
          <w:bCs/>
          <w:color w:val="1C1915"/>
          <w:sz w:val="22"/>
          <w:szCs w:val="22"/>
        </w:rPr>
        <w:t xml:space="preserve">F.2  Sanctions</w:t>
      </w:r>
    </w:p>
    <w:p>
      <w:pPr>
        <w:spacing w:after="160"/>
        <w:jc w:val="both"/>
      </w:pPr>
      <w:r>
        <w:rPr>
          <w:rFonts w:ascii="Calibri" w:cs="Calibri" w:eastAsia="Calibri" w:hAnsi="Calibri"/>
          <w:i w:val="false"/>
          <w:iCs w:val="false"/>
          <w:sz w:val="21"/>
          <w:szCs w:val="21"/>
        </w:rPr>
        <w:t xml:space="preserve">We will not provide any cover, or make any payment, to the extent that doing so would expose us to enforcement action under:</w:t>
      </w:r>
    </w:p>
    <w:p>
      <w:pPr>
        <w:spacing w:after="100"/>
        <w:ind w:left="431"/>
        <w:jc w:val="both"/>
      </w:pPr>
      <w:r>
        <w:rPr>
          <w:rFonts w:ascii="Calibri" w:cs="Calibri" w:eastAsia="Calibri" w:hAnsi="Calibri"/>
          <w:i w:val="false"/>
          <w:iCs w:val="false"/>
          <w:sz w:val="21"/>
          <w:szCs w:val="21"/>
        </w:rPr>
        <w:t xml:space="preserve">(a) the Autonomous Sanctions Act 2011 (Cth) or the Charter of the United Nations Act 1945 (Cth); or</w:t>
      </w:r>
    </w:p>
    <w:p>
      <w:pPr>
        <w:spacing w:after="100"/>
        <w:ind w:left="431"/>
        <w:jc w:val="both"/>
      </w:pPr>
      <w:r>
        <w:rPr>
          <w:rFonts w:ascii="Calibri" w:cs="Calibri" w:eastAsia="Calibri" w:hAnsi="Calibri"/>
          <w:i w:val="false"/>
          <w:iCs w:val="false"/>
          <w:sz w:val="21"/>
          <w:szCs w:val="21"/>
        </w:rPr>
        <w:t xml:space="preserve">(b) as a deliberate scope choice consistent with our reinsurance and banking arrangements, the trade or economic sanctions law of the United Nations, the United States of America, the United Kingdom, or the European Union.</w:t>
      </w:r>
    </w:p>
    <w:p>
      <w:pPr>
        <w:spacing w:after="160"/>
        <w:jc w:val="both"/>
      </w:pPr>
      <w:r>
        <w:rPr>
          <w:rFonts w:ascii="Calibri" w:cs="Calibri" w:eastAsia="Calibri" w:hAnsi="Calibri"/>
          <w:i w:val="false"/>
          <w:iCs w:val="false"/>
          <w:sz w:val="21"/>
          <w:szCs w:val="21"/>
        </w:rPr>
        <w:t xml:space="preserve">Where these regimes conflict, the Australian sanctions regime at (a) governs the availability of cover under this policy; (b) is applied only to the extent it does not require us to act inconsistently with Australian law.</w:t>
      </w:r>
    </w:p>
    <w:p>
      <w:pPr>
        <w:spacing w:after="80" w:before="160"/>
      </w:pPr>
      <w:r>
        <w:rPr>
          <w:rFonts w:ascii="Calibri" w:cs="Calibri" w:eastAsia="Calibri" w:hAnsi="Calibri"/>
          <w:b/>
          <w:bCs/>
          <w:color w:val="1C1915"/>
          <w:sz w:val="22"/>
          <w:szCs w:val="22"/>
        </w:rPr>
        <w:t xml:space="preserve">F.3  Nuclear</w:t>
      </w:r>
    </w:p>
    <w:p>
      <w:pPr>
        <w:spacing w:after="160"/>
        <w:jc w:val="both"/>
      </w:pPr>
      <w:r>
        <w:rPr>
          <w:rFonts w:ascii="Calibri" w:cs="Calibri" w:eastAsia="Calibri" w:hAnsi="Calibri"/>
          <w:i w:val="false"/>
          <w:iCs w:val="false"/>
          <w:sz w:val="21"/>
          <w:szCs w:val="21"/>
        </w:rPr>
        <w:t xml:space="preserve">We do not cover any claim, loss, or liability arising from nuclear reaction, radiation, or radioactive contamination.</w:t>
      </w:r>
    </w:p>
    <w:p>
      <w:pPr>
        <w:spacing w:after="80" w:before="160"/>
      </w:pPr>
      <w:r>
        <w:rPr>
          <w:rFonts w:ascii="Calibri" w:cs="Calibri" w:eastAsia="Calibri" w:hAnsi="Calibri"/>
          <w:b/>
          <w:bCs/>
          <w:color w:val="1C1915"/>
          <w:sz w:val="22"/>
          <w:szCs w:val="22"/>
        </w:rPr>
        <w:t xml:space="preserve">F.4  Asbestos</w:t>
      </w:r>
    </w:p>
    <w:p>
      <w:pPr>
        <w:spacing w:after="160"/>
        <w:jc w:val="both"/>
      </w:pPr>
      <w:r>
        <w:rPr>
          <w:rFonts w:ascii="Calibri" w:cs="Calibri" w:eastAsia="Calibri" w:hAnsi="Calibri"/>
          <w:i w:val="false"/>
          <w:iCs w:val="false"/>
          <w:sz w:val="21"/>
          <w:szCs w:val="21"/>
        </w:rPr>
        <w:t xml:space="preserve">We do not cover any claim, loss, or liability arising from or in connection with asbestos in any form.</w:t>
      </w:r>
    </w:p>
    <w:p>
      <w:pPr>
        <w:spacing w:after="80" w:before="160"/>
      </w:pPr>
      <w:r>
        <w:rPr>
          <w:rFonts w:ascii="Calibri" w:cs="Calibri" w:eastAsia="Calibri" w:hAnsi="Calibri"/>
          <w:b/>
          <w:bCs/>
          <w:color w:val="1C1915"/>
          <w:sz w:val="22"/>
          <w:szCs w:val="22"/>
        </w:rPr>
        <w:t xml:space="preserve">F.5  Pollution — General</w:t>
      </w:r>
    </w:p>
    <w:p>
      <w:pPr>
        <w:spacing w:after="160"/>
        <w:jc w:val="both"/>
      </w:pPr>
      <w:r>
        <w:rPr>
          <w:rFonts w:ascii="Calibri" w:cs="Calibri" w:eastAsia="Calibri" w:hAnsi="Calibri"/>
          <w:i w:val="false"/>
          <w:iCs w:val="false"/>
          <w:sz w:val="21"/>
          <w:szCs w:val="21"/>
        </w:rPr>
        <w:t xml:space="preserve">We do not cover any claim, loss, or liability arising from pollution or contamination — except:</w:t>
      </w:r>
    </w:p>
    <w:p>
      <w:pPr>
        <w:spacing w:after="100"/>
        <w:ind w:left="431"/>
        <w:jc w:val="both"/>
      </w:pPr>
      <w:r>
        <w:rPr>
          <w:rFonts w:ascii="Calibri" w:cs="Calibri" w:eastAsia="Calibri" w:hAnsi="Calibri"/>
          <w:i w:val="false"/>
          <w:iCs w:val="false"/>
          <w:sz w:val="21"/>
          <w:szCs w:val="21"/>
        </w:rPr>
        <w:t xml:space="preserve">(a) defence costs in statutory proceedings relating to pollution (covered under Section D if operative); and</w:t>
      </w:r>
    </w:p>
    <w:p>
      <w:pPr>
        <w:spacing w:after="100"/>
        <w:ind w:left="431"/>
        <w:jc w:val="both"/>
      </w:pPr>
      <w:r>
        <w:rPr>
          <w:rFonts w:ascii="Calibri" w:cs="Calibri" w:eastAsia="Calibri" w:hAnsi="Calibri"/>
          <w:i w:val="false"/>
          <w:iCs w:val="false"/>
          <w:sz w:val="21"/>
          <w:szCs w:val="21"/>
        </w:rPr>
        <w:t xml:space="preserve">(b) environmental clean-up costs (covered under Section D.3 if operative).</w:t>
      </w:r>
    </w:p>
    <w:p>
      <w:pPr>
        <w:spacing w:after="80" w:before="160"/>
      </w:pPr>
      <w:r>
        <w:rPr>
          <w:rFonts w:ascii="Calibri" w:cs="Calibri" w:eastAsia="Calibri" w:hAnsi="Calibri"/>
          <w:b/>
          <w:bCs/>
          <w:color w:val="1C1915"/>
          <w:sz w:val="22"/>
          <w:szCs w:val="22"/>
        </w:rPr>
        <w:t xml:space="preserve">F.6  US / Canada Jurisdiction</w:t>
      </w:r>
    </w:p>
    <w:p>
      <w:pPr>
        <w:spacing w:after="160"/>
        <w:jc w:val="both"/>
      </w:pPr>
      <w:r>
        <w:rPr>
          <w:rFonts w:ascii="Calibri" w:cs="Calibri" w:eastAsia="Calibri" w:hAnsi="Calibri"/>
          <w:i w:val="false"/>
          <w:iCs w:val="false"/>
          <w:sz w:val="21"/>
          <w:szCs w:val="21"/>
        </w:rPr>
        <w:t xml:space="preserve">We do not cover any claim brought or maintained in a court in the United States of America or Canada, or any claim to enforce a judgment of such a court — unless the US/Canada jurisdiction endorsement has been purchased and is shown in the schedule.</w:t>
      </w:r>
    </w:p>
    <w:p>
      <w:pPr>
        <w:spacing w:after="80" w:before="160"/>
      </w:pPr>
      <w:r>
        <w:rPr>
          <w:rFonts w:ascii="Calibri" w:cs="Calibri" w:eastAsia="Calibri" w:hAnsi="Calibri"/>
          <w:b/>
          <w:bCs/>
          <w:color w:val="1C1915"/>
          <w:sz w:val="22"/>
          <w:szCs w:val="22"/>
        </w:rPr>
        <w:t xml:space="preserve">F.7  Prior and Pending Matters</w:t>
      </w:r>
    </w:p>
    <w:p>
      <w:pPr>
        <w:spacing w:after="160"/>
        <w:jc w:val="both"/>
      </w:pPr>
      <w:r>
        <w:rPr>
          <w:rFonts w:ascii="Calibri" w:cs="Calibri" w:eastAsia="Calibri" w:hAnsi="Calibri"/>
          <w:i w:val="false"/>
          <w:iCs w:val="false"/>
          <w:sz w:val="21"/>
          <w:szCs w:val="21"/>
        </w:rPr>
        <w:t xml:space="preserve">We do not cover any claim arising from any proceeding, investigation, or dispute that was pending, or any fact or circumstance that was known to the insured person seeking cover, on or before the date shown as the "prior and pending date" in the schedule (or, if not stated, the retroactive date for the relevant section, or if no retroactive date applies, the start date of this policy period).</w:t>
      </w:r>
    </w:p>
    <w:p>
      <w:pPr>
        <w:spacing w:after="160"/>
        <w:jc w:val="both"/>
      </w:pPr>
      <w:r>
        <w:rPr>
          <w:rFonts w:ascii="Calibri" w:cs="Calibri" w:eastAsia="Calibri" w:hAnsi="Calibri"/>
          <w:i w:val="false"/>
          <w:iCs w:val="false"/>
          <w:sz w:val="21"/>
          <w:szCs w:val="21"/>
        </w:rPr>
        <w:t xml:space="preserve">This exclusion applies to each insured person individually and does not affect cover for an insured person who did not have that knowledge — the severability principle at I.2 applies to this exclusion.</w:t>
      </w:r>
    </w:p>
    <w:p>
      <w:pPr>
        <w:spacing w:after="160"/>
        <w:jc w:val="both"/>
      </w:pPr>
      <w:r>
        <w:rPr>
          <w:rFonts w:ascii="Calibri" w:cs="Calibri" w:eastAsia="Calibri" w:hAnsi="Calibri"/>
          <w:i w:val="false"/>
          <w:iCs w:val="false"/>
          <w:sz w:val="21"/>
          <w:szCs w:val="21"/>
        </w:rPr>
        <w:t xml:space="preserve">This is a general backstop exclusion. Where a specific section of this policy (for example, A.14 Prior Known Matters) states its own prior-knowledge test for that section, the section-specific test applies in place of this clause for claims under that section.</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G How Much We Will Pay</w:t>
      </w:r>
    </w:p>
    <w:p>
      <w:pPr>
        <w:spacing w:after="80" w:before="160"/>
      </w:pPr>
      <w:r>
        <w:rPr>
          <w:rFonts w:ascii="Calibri" w:cs="Calibri" w:eastAsia="Calibri" w:hAnsi="Calibri"/>
          <w:b/>
          <w:bCs/>
          <w:color w:val="1C1915"/>
          <w:sz w:val="22"/>
          <w:szCs w:val="22"/>
        </w:rPr>
        <w:t xml:space="preserve">G.1  Section Limits</w:t>
      </w:r>
    </w:p>
    <w:p>
      <w:pPr>
        <w:spacing w:after="160"/>
        <w:jc w:val="both"/>
      </w:pPr>
      <w:r>
        <w:rPr>
          <w:rFonts w:ascii="Calibri" w:cs="Calibri" w:eastAsia="Calibri" w:hAnsi="Calibri"/>
          <w:i w:val="false"/>
          <w:iCs w:val="false"/>
          <w:sz w:val="21"/>
          <w:szCs w:val="21"/>
        </w:rPr>
        <w:t xml:space="preserve">The most we will pay for all claims, Crime Losses, and defence costs combined under each section during the policy period is the section limit of liability shown in the schedule.</w:t>
      </w:r>
    </w:p>
    <w:p>
      <w:pPr>
        <w:spacing w:after="80" w:before="160"/>
      </w:pPr>
      <w:r>
        <w:rPr>
          <w:rFonts w:ascii="Calibri" w:cs="Calibri" w:eastAsia="Calibri" w:hAnsi="Calibri"/>
          <w:b/>
          <w:bCs/>
          <w:color w:val="1C1915"/>
          <w:sz w:val="22"/>
          <w:szCs w:val="22"/>
        </w:rPr>
        <w:t xml:space="preserve">G.2  Overall Aggregate</w:t>
      </w:r>
    </w:p>
    <w:p>
      <w:pPr>
        <w:spacing w:after="160"/>
        <w:jc w:val="both"/>
      </w:pPr>
      <w:r>
        <w:rPr>
          <w:rFonts w:ascii="Calibri" w:cs="Calibri" w:eastAsia="Calibri" w:hAnsi="Calibri"/>
          <w:i w:val="false"/>
          <w:iCs w:val="false"/>
          <w:sz w:val="21"/>
          <w:szCs w:val="21"/>
        </w:rPr>
        <w:t xml:space="preserve">The most we will pay across all sections combined during the policy period is the overall aggregate limit of liability shown in the schedule.</w:t>
      </w:r>
    </w:p>
    <w:p>
      <w:pPr>
        <w:spacing w:after="80" w:before="160"/>
      </w:pPr>
      <w:r>
        <w:rPr>
          <w:rFonts w:ascii="Calibri" w:cs="Calibri" w:eastAsia="Calibri" w:hAnsi="Calibri"/>
          <w:b/>
          <w:bCs/>
          <w:color w:val="1C1915"/>
          <w:sz w:val="22"/>
          <w:szCs w:val="22"/>
        </w:rPr>
        <w:t xml:space="preserve">G.3  Sub-Limits</w:t>
      </w:r>
    </w:p>
    <w:p>
      <w:pPr>
        <w:spacing w:after="160"/>
        <w:jc w:val="both"/>
      </w:pPr>
      <w:r>
        <w:rPr>
          <w:rFonts w:ascii="Calibri" w:cs="Calibri" w:eastAsia="Calibri" w:hAnsi="Calibri"/>
          <w:i w:val="false"/>
          <w:iCs w:val="false"/>
          <w:sz w:val="21"/>
          <w:szCs w:val="21"/>
        </w:rPr>
        <w:t xml:space="preserve">Sub-limits are included within the section limit of liability and the overall aggregate — not in addition to them — unless the schedule states otherwise.</w:t>
      </w:r>
    </w:p>
    <w:p>
      <w:pPr>
        <w:spacing w:after="160"/>
        <w:jc w:val="both"/>
      </w:pPr>
      <w:r>
        <w:rPr>
          <w:rFonts w:ascii="Calibri" w:cs="Calibri" w:eastAsia="Calibri" w:hAnsi="Calibri"/>
          <w:i w:val="false"/>
          <w:iCs w:val="false"/>
          <w:sz w:val="21"/>
          <w:szCs w:val="21"/>
        </w:rPr>
        <w:t xml:space="preserve">Where a claim is covered under more than one section under the "most favourable cover" rule in About This Policy, the limit, sub-limit and excess of the section selected apply to that claim, and payment erodes only that section's limit of liability and the overall aggregate under G.2 — not the limit of any other section.</w:t>
      </w:r>
    </w:p>
    <w:p>
      <w:pPr>
        <w:spacing w:after="80" w:before="160"/>
      </w:pPr>
      <w:r>
        <w:rPr>
          <w:rFonts w:ascii="Calibri" w:cs="Calibri" w:eastAsia="Calibri" w:hAnsi="Calibri"/>
          <w:b/>
          <w:bCs/>
          <w:color w:val="1C1915"/>
          <w:sz w:val="22"/>
          <w:szCs w:val="22"/>
        </w:rPr>
        <w:t xml:space="preserve">G.4  Defence Costs</w:t>
      </w:r>
    </w:p>
    <w:p>
      <w:pPr>
        <w:spacing w:after="160"/>
        <w:jc w:val="both"/>
      </w:pPr>
      <w:r>
        <w:rPr>
          <w:rFonts w:ascii="Calibri" w:cs="Calibri" w:eastAsia="Calibri" w:hAnsi="Calibri"/>
          <w:i w:val="false"/>
          <w:iCs w:val="false"/>
          <w:sz w:val="21"/>
          <w:szCs w:val="21"/>
        </w:rPr>
        <w:t xml:space="preserve">Defence costs are included within the limit of liability for each section. We will advance defence costs as they are incurred. If it is later established that a claim is not covered, you must repay any defence costs we have advanced for the uncovered portion.</w:t>
      </w:r>
    </w:p>
    <w:p>
      <w:pPr>
        <w:spacing w:after="160"/>
        <w:jc w:val="both"/>
      </w:pPr>
      <w:r>
        <w:rPr>
          <w:rFonts w:ascii="Calibri" w:cs="Calibri" w:eastAsia="Calibri" w:hAnsi="Calibri"/>
          <w:i w:val="false"/>
          <w:iCs w:val="false"/>
          <w:sz w:val="21"/>
          <w:szCs w:val="21"/>
        </w:rPr>
        <w:t xml:space="preserve">An option to remove defence costs from the limit of liability, so that defence costs are payable in addition to the limit, is available by endorsement — see E02.</w:t>
      </w:r>
    </w:p>
    <w:p>
      <w:pPr>
        <w:spacing w:after="80" w:before="160"/>
      </w:pPr>
      <w:r>
        <w:rPr>
          <w:rFonts w:ascii="Calibri" w:cs="Calibri" w:eastAsia="Calibri" w:hAnsi="Calibri"/>
          <w:b/>
          <w:bCs/>
          <w:color w:val="1C1915"/>
          <w:sz w:val="22"/>
          <w:szCs w:val="22"/>
        </w:rPr>
        <w:t xml:space="preserve">G.5  Priority of Payment</w:t>
      </w:r>
    </w:p>
    <w:p>
      <w:pPr>
        <w:spacing w:after="160"/>
        <w:jc w:val="both"/>
      </w:pPr>
      <w:r>
        <w:rPr>
          <w:rFonts w:ascii="Calibri" w:cs="Calibri" w:eastAsia="Calibri" w:hAnsi="Calibri"/>
          <w:i w:val="false"/>
          <w:iCs w:val="false"/>
          <w:sz w:val="21"/>
          <w:szCs w:val="21"/>
        </w:rPr>
        <w:t xml:space="preserve">If the limit of liability for any section is or may be insufficient to cover all amounts payable, we will give priority to paying the personal liability and defence costs of insured persons before paying amounts owed to or on behalf of the company.</w:t>
      </w:r>
    </w:p>
    <w:p>
      <w:pPr>
        <w:spacing w:after="160"/>
        <w:jc w:val="both"/>
      </w:pPr>
      <w:r>
        <w:rPr>
          <w:rFonts w:ascii="Calibri" w:cs="Calibri" w:eastAsia="Calibri" w:hAnsi="Calibri"/>
          <w:i w:val="false"/>
          <w:iCs w:val="false"/>
          <w:sz w:val="21"/>
          <w:szCs w:val="21"/>
        </w:rPr>
        <w:t xml:space="preserve">This protects individual directors and officers when resources are limited.</w:t>
      </w:r>
    </w:p>
    <w:p>
      <w:pPr>
        <w:spacing w:after="160"/>
        <w:jc w:val="both"/>
      </w:pPr>
      <w:r>
        <w:rPr>
          <w:rFonts w:ascii="Calibri" w:cs="Calibri" w:eastAsia="Calibri" w:hAnsi="Calibri"/>
          <w:i w:val="false"/>
          <w:iCs w:val="false"/>
          <w:sz w:val="21"/>
          <w:szCs w:val="21"/>
        </w:rPr>
        <w:t xml:space="preserve">A Side A Difference in Conditions extension, which can convert Section A into excess/standalone Side-A cover for individuals, is available by endorsement — see E06.</w:t>
      </w:r>
    </w:p>
    <w:p>
      <w:pPr>
        <w:spacing w:after="80" w:before="160"/>
      </w:pPr>
      <w:r>
        <w:rPr>
          <w:rFonts w:ascii="Calibri" w:cs="Calibri" w:eastAsia="Calibri" w:hAnsi="Calibri"/>
          <w:b/>
          <w:bCs/>
          <w:color w:val="1C1915"/>
          <w:sz w:val="22"/>
          <w:szCs w:val="22"/>
        </w:rPr>
        <w:t xml:space="preserve">G.6  Allocation</w:t>
      </w:r>
    </w:p>
    <w:p>
      <w:pPr>
        <w:spacing w:after="160"/>
        <w:jc w:val="both"/>
      </w:pPr>
      <w:r>
        <w:rPr>
          <w:rFonts w:ascii="Calibri" w:cs="Calibri" w:eastAsia="Calibri" w:hAnsi="Calibri"/>
          <w:i w:val="false"/>
          <w:iCs w:val="false"/>
          <w:sz w:val="21"/>
          <w:szCs w:val="21"/>
        </w:rPr>
        <w:t xml:space="preserve">If a claim involves both covered and uncovered matters, or both covered and uncovered parties, we will work with you to agree a fair allocation between the covered and uncovered portions. If we cannot agree, the allocation will be determined by a senior counsel agreed by both parties, or failing agreement, appointed by the President of the relevant state or territory Law Society. Until the allocation is agreed or determined, we will advance defence costs for the portion we agree is covered.</w:t>
      </w:r>
    </w:p>
    <w:p>
      <w:pPr>
        <w:spacing w:after="80" w:before="160"/>
      </w:pPr>
      <w:r>
        <w:rPr>
          <w:rFonts w:ascii="Calibri" w:cs="Calibri" w:eastAsia="Calibri" w:hAnsi="Calibri"/>
          <w:b/>
          <w:bCs/>
          <w:color w:val="1C1915"/>
          <w:sz w:val="22"/>
          <w:szCs w:val="22"/>
        </w:rPr>
        <w:t xml:space="preserve">G.7  Excess</w:t>
      </w:r>
    </w:p>
    <w:p>
      <w:pPr>
        <w:spacing w:after="160"/>
        <w:jc w:val="both"/>
      </w:pPr>
      <w:r>
        <w:rPr>
          <w:rFonts w:ascii="Calibri" w:cs="Calibri" w:eastAsia="Calibri" w:hAnsi="Calibri"/>
          <w:i w:val="false"/>
          <w:iCs w:val="false"/>
          <w:sz w:val="21"/>
          <w:szCs w:val="21"/>
        </w:rPr>
        <w:t xml:space="preserve">You must pay the excess shown in the schedule as the first part of each claim or Crime Loss.</w:t>
      </w:r>
    </w:p>
    <w:p>
      <w:pPr>
        <w:spacing w:after="160"/>
        <w:jc w:val="both"/>
      </w:pPr>
      <w:r>
        <w:rPr>
          <w:rFonts w:ascii="Calibri" w:cs="Calibri" w:eastAsia="Calibri" w:hAnsi="Calibri"/>
          <w:i w:val="false"/>
          <w:iCs w:val="false"/>
          <w:sz w:val="21"/>
          <w:szCs w:val="21"/>
        </w:rPr>
        <w:t xml:space="preserve">See G.10 (Excess Waivers) for the circumstances in which the excess does not apply.</w:t>
      </w:r>
    </w:p>
    <w:p>
      <w:pPr>
        <w:spacing w:after="80" w:before="160"/>
      </w:pPr>
      <w:r>
        <w:rPr>
          <w:rFonts w:ascii="Calibri" w:cs="Calibri" w:eastAsia="Calibri" w:hAnsi="Calibri"/>
          <w:b/>
          <w:bCs/>
          <w:color w:val="1C1915"/>
          <w:sz w:val="22"/>
          <w:szCs w:val="22"/>
        </w:rPr>
        <w:t xml:space="preserve">G.8  Other Insurance</w:t>
      </w:r>
    </w:p>
    <w:p>
      <w:pPr>
        <w:spacing w:after="160"/>
        <w:jc w:val="both"/>
      </w:pPr>
      <w:r>
        <w:rPr>
          <w:rFonts w:ascii="Calibri" w:cs="Calibri" w:eastAsia="Calibri" w:hAnsi="Calibri"/>
          <w:i w:val="false"/>
          <w:iCs w:val="false"/>
          <w:sz w:val="21"/>
          <w:szCs w:val="21"/>
        </w:rPr>
        <w:t xml:space="preserve">If you have other insurance that covers the same loss, this policy will pay only the amount that exceeds what is payable under the other insurance — unless the other insurance states that it is excess over this policy. However: Section A (Directors' and Officers' Liability) is always primary for the personal liability of insured persons — we will not require an insured person to claim under any other policy first.</w:t>
      </w:r>
    </w:p>
    <w:p>
      <w:pPr>
        <w:spacing w:after="80" w:before="160"/>
      </w:pPr>
      <w:r>
        <w:rPr>
          <w:rFonts w:ascii="Calibri" w:cs="Calibri" w:eastAsia="Calibri" w:hAnsi="Calibri"/>
          <w:b/>
          <w:bCs/>
          <w:color w:val="1C1915"/>
          <w:sz w:val="22"/>
          <w:szCs w:val="22"/>
        </w:rPr>
        <w:t xml:space="preserve">G.9  Reinstatement After Recovery</w:t>
      </w:r>
    </w:p>
    <w:p>
      <w:pPr>
        <w:spacing w:after="160"/>
        <w:jc w:val="both"/>
      </w:pPr>
      <w:r>
        <w:rPr>
          <w:rFonts w:ascii="Calibri" w:cs="Calibri" w:eastAsia="Calibri" w:hAnsi="Calibri"/>
          <w:i w:val="false"/>
          <w:iCs w:val="false"/>
          <w:sz w:val="21"/>
          <w:szCs w:val="21"/>
        </w:rPr>
        <w:t xml:space="preserve">If we pay a claim and later recover any amount from a third party, we will reinstate the limit of liability by the amount recovered (less recovery costs), up to the original limit of liability.</w:t>
      </w:r>
    </w:p>
    <w:p>
      <w:pPr>
        <w:spacing w:after="80" w:before="160"/>
      </w:pPr>
      <w:r>
        <w:rPr>
          <w:rFonts w:ascii="Calibri" w:cs="Calibri" w:eastAsia="Calibri" w:hAnsi="Calibri"/>
          <w:b/>
          <w:bCs/>
          <w:color w:val="1C1915"/>
          <w:sz w:val="22"/>
          <w:szCs w:val="22"/>
        </w:rPr>
        <w:t xml:space="preserve">G.10  Excess Waivers</w:t>
      </w:r>
    </w:p>
    <w:p>
      <w:pPr>
        <w:spacing w:after="160"/>
        <w:jc w:val="both"/>
      </w:pPr>
      <w:r>
        <w:rPr>
          <w:rFonts w:ascii="Calibri" w:cs="Calibri" w:eastAsia="Calibri" w:hAnsi="Calibri"/>
          <w:i w:val="false"/>
          <w:iCs w:val="false"/>
          <w:sz w:val="21"/>
          <w:szCs w:val="21"/>
        </w:rPr>
        <w:t xml:space="preserve">The excess does not apply to:</w:t>
      </w:r>
    </w:p>
    <w:p>
      <w:pPr>
        <w:spacing w:after="100"/>
        <w:ind w:left="431"/>
        <w:jc w:val="both"/>
      </w:pPr>
      <w:r>
        <w:rPr>
          <w:rFonts w:ascii="Calibri" w:cs="Calibri" w:eastAsia="Calibri" w:hAnsi="Calibri"/>
          <w:i w:val="false"/>
          <w:iCs w:val="false"/>
          <w:sz w:val="21"/>
          <w:szCs w:val="21"/>
        </w:rPr>
        <w:t xml:space="preserve">(a) defence costs incurred by an insured person under Section A where the company has not indemnified them;</w:t>
      </w:r>
    </w:p>
    <w:p>
      <w:pPr>
        <w:spacing w:after="100"/>
        <w:ind w:left="431"/>
        <w:jc w:val="both"/>
      </w:pPr>
      <w:r>
        <w:rPr>
          <w:rFonts w:ascii="Calibri" w:cs="Calibri" w:eastAsia="Calibri" w:hAnsi="Calibri"/>
          <w:i w:val="false"/>
          <w:iCs w:val="false"/>
          <w:sz w:val="21"/>
          <w:szCs w:val="21"/>
        </w:rPr>
        <w:t xml:space="preserve">(b) defence costs for WHS prosecutions under Section D.2; and</w:t>
      </w:r>
    </w:p>
    <w:p>
      <w:pPr>
        <w:spacing w:after="100"/>
        <w:ind w:left="431"/>
        <w:jc w:val="both"/>
      </w:pPr>
      <w:r>
        <w:rPr>
          <w:rFonts w:ascii="Calibri" w:cs="Calibri" w:eastAsia="Calibri" w:hAnsi="Calibri"/>
          <w:i w:val="false"/>
          <w:iCs w:val="false"/>
          <w:sz w:val="21"/>
          <w:szCs w:val="21"/>
        </w:rPr>
        <w:t xml:space="preserve">(c) the extensions at Sections A.5, A.6, A.9, and C.4.</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H Your Obligations</w:t>
      </w:r>
    </w:p>
    <w:p>
      <w:pPr>
        <w:spacing w:after="160"/>
        <w:jc w:val="both"/>
      </w:pPr>
      <w:r>
        <w:rPr>
          <w:rFonts w:ascii="Calibri" w:cs="Calibri" w:eastAsia="Calibri" w:hAnsi="Calibri"/>
          <w:i w:val="false"/>
          <w:iCs w:val="false"/>
          <w:sz w:val="21"/>
          <w:szCs w:val="21"/>
        </w:rPr>
        <w:t xml:space="preserve">This Section states your obligations when a claim is made, and when you discover a Crime Loss under Section E. Except where Section E states a different timeframe or process (see E.1 and E.9), the obligations below — in particular H.4 (Cooperate With Us), H.5 (Mitigate Your Loss), and H.6 (Preserve Our Recovery Rights) — apply equally to a claim and to a Crime Loss.</w:t>
      </w:r>
    </w:p>
    <w:p>
      <w:pPr>
        <w:spacing w:after="80" w:before="160"/>
      </w:pPr>
      <w:r>
        <w:rPr>
          <w:rFonts w:ascii="Calibri" w:cs="Calibri" w:eastAsia="Calibri" w:hAnsi="Calibri"/>
          <w:b/>
          <w:bCs/>
          <w:color w:val="1C1915"/>
          <w:sz w:val="22"/>
          <w:szCs w:val="22"/>
        </w:rPr>
        <w:t xml:space="preserve">H.1  Notify Us of Claims</w:t>
      </w:r>
    </w:p>
    <w:p>
      <w:pPr>
        <w:spacing w:after="160"/>
        <w:jc w:val="both"/>
      </w:pPr>
      <w:r>
        <w:rPr>
          <w:rFonts w:ascii="Calibri" w:cs="Calibri" w:eastAsia="Calibri" w:hAnsi="Calibri"/>
          <w:i w:val="false"/>
          <w:iCs w:val="false"/>
          <w:sz w:val="21"/>
          <w:szCs w:val="21"/>
        </w:rPr>
        <w:t xml:space="preserve">Tell us in writing as soon as reasonably practicable after you become aware that a claim has been made. Provide:</w:t>
      </w:r>
    </w:p>
    <w:p>
      <w:pPr>
        <w:spacing w:after="100"/>
        <w:ind w:left="431"/>
        <w:jc w:val="both"/>
      </w:pPr>
      <w:r>
        <w:rPr>
          <w:rFonts w:ascii="Calibri" w:cs="Calibri" w:eastAsia="Calibri" w:hAnsi="Calibri"/>
          <w:i w:val="false"/>
          <w:iCs w:val="false"/>
          <w:sz w:val="21"/>
          <w:szCs w:val="21"/>
        </w:rPr>
        <w:t xml:space="preserve">(a) who is making the claim and what they are alleging;</w:t>
      </w:r>
    </w:p>
    <w:p>
      <w:pPr>
        <w:spacing w:after="100"/>
        <w:ind w:left="431"/>
        <w:jc w:val="both"/>
      </w:pPr>
      <w:r>
        <w:rPr>
          <w:rFonts w:ascii="Calibri" w:cs="Calibri" w:eastAsia="Calibri" w:hAnsi="Calibri"/>
          <w:i w:val="false"/>
          <w:iCs w:val="false"/>
          <w:sz w:val="21"/>
          <w:szCs w:val="21"/>
        </w:rPr>
        <w:t xml:space="preserve">(b) which insured is the subject of the claim;</w:t>
      </w:r>
    </w:p>
    <w:p>
      <w:pPr>
        <w:spacing w:after="100"/>
        <w:ind w:left="431"/>
        <w:jc w:val="both"/>
      </w:pPr>
      <w:r>
        <w:rPr>
          <w:rFonts w:ascii="Calibri" w:cs="Calibri" w:eastAsia="Calibri" w:hAnsi="Calibri"/>
          <w:i w:val="false"/>
          <w:iCs w:val="false"/>
          <w:sz w:val="21"/>
          <w:szCs w:val="21"/>
        </w:rPr>
        <w:t xml:space="preserve">(c) when you first became aware of the claim;</w:t>
      </w:r>
    </w:p>
    <w:p>
      <w:pPr>
        <w:spacing w:after="100"/>
        <w:ind w:left="431"/>
        <w:jc w:val="both"/>
      </w:pPr>
      <w:r>
        <w:rPr>
          <w:rFonts w:ascii="Calibri" w:cs="Calibri" w:eastAsia="Calibri" w:hAnsi="Calibri"/>
          <w:i w:val="false"/>
          <w:iCs w:val="false"/>
          <w:sz w:val="21"/>
          <w:szCs w:val="21"/>
        </w:rPr>
        <w:t xml:space="preserve">(d) details of the wrongful act involved; and</w:t>
      </w:r>
    </w:p>
    <w:p>
      <w:pPr>
        <w:spacing w:after="100"/>
        <w:ind w:left="431"/>
        <w:jc w:val="both"/>
      </w:pPr>
      <w:r>
        <w:rPr>
          <w:rFonts w:ascii="Calibri" w:cs="Calibri" w:eastAsia="Calibri" w:hAnsi="Calibri"/>
          <w:i w:val="false"/>
          <w:iCs w:val="false"/>
          <w:sz w:val="21"/>
          <w:szCs w:val="21"/>
        </w:rPr>
        <w:t xml:space="preserve">(e) your estimate of the potential value (if you can).</w:t>
      </w:r>
    </w:p>
    <w:p>
      <w:pPr>
        <w:spacing w:after="80" w:before="160"/>
      </w:pPr>
      <w:r>
        <w:rPr>
          <w:rFonts w:ascii="Calibri" w:cs="Calibri" w:eastAsia="Calibri" w:hAnsi="Calibri"/>
          <w:b/>
          <w:bCs/>
          <w:color w:val="1C1915"/>
          <w:sz w:val="22"/>
          <w:szCs w:val="22"/>
        </w:rPr>
        <w:t xml:space="preserve">H.2  Notify Us of Circumstances</w:t>
      </w:r>
    </w:p>
    <w:p>
      <w:pPr>
        <w:spacing w:after="160"/>
        <w:jc w:val="both"/>
      </w:pPr>
      <w:r>
        <w:rPr>
          <w:rFonts w:ascii="Calibri" w:cs="Calibri" w:eastAsia="Calibri" w:hAnsi="Calibri"/>
          <w:i w:val="false"/>
          <w:iCs w:val="false"/>
          <w:sz w:val="21"/>
          <w:szCs w:val="21"/>
        </w:rPr>
        <w:t xml:space="preserve">Tell us in writing during the policy period if you become aware of any fact, matter, or circumstance that might reasonably be expected to give rise to a claim. Any claim that later arises from notified circumstances will be treated as if first made during this policy period (see Insurance Contracts Act 1984 (Cth) s.40(3)).</w:t>
      </w:r>
    </w:p>
    <w:p>
      <w:pPr>
        <w:spacing w:after="160"/>
        <w:jc w:val="both"/>
      </w:pPr>
      <w:r>
        <w:rPr>
          <w:rFonts w:ascii="Calibri" w:cs="Calibri" w:eastAsia="Calibri" w:hAnsi="Calibri"/>
          <w:i w:val="false"/>
          <w:iCs w:val="false"/>
          <w:sz w:val="21"/>
          <w:szCs w:val="21"/>
        </w:rPr>
        <w:t xml:space="preserve">Examples of things you should tell us about:</w:t>
      </w:r>
    </w:p>
    <w:p>
      <w:pPr>
        <w:pStyle w:val="ListParagraph"/>
        <w:numPr>
          <w:ilvl w:val="0"/>
          <w:numId w:val="2"/>
        </w:numPr>
        <w:spacing w:after="80"/>
      </w:pPr>
      <w:r>
        <w:rPr>
          <w:rFonts w:ascii="Calibri" w:cs="Calibri" w:eastAsia="Calibri" w:hAnsi="Calibri"/>
          <w:i w:val="false"/>
          <w:iCs w:val="false"/>
          <w:sz w:val="21"/>
          <w:szCs w:val="21"/>
        </w:rPr>
        <w:t xml:space="preserve">A former employee has engaged a lawyer and is alleging unfair dismissal.</w:t>
      </w:r>
    </w:p>
    <w:p>
      <w:pPr>
        <w:pStyle w:val="ListParagraph"/>
        <w:numPr>
          <w:ilvl w:val="0"/>
          <w:numId w:val="2"/>
        </w:numPr>
        <w:spacing w:after="80"/>
      </w:pPr>
      <w:r>
        <w:rPr>
          <w:rFonts w:ascii="Calibri" w:cs="Calibri" w:eastAsia="Calibri" w:hAnsi="Calibri"/>
          <w:i w:val="false"/>
          <w:iCs w:val="false"/>
          <w:sz w:val="21"/>
          <w:szCs w:val="21"/>
        </w:rPr>
        <w:t xml:space="preserve">SafeWork has commenced a formal investigation into a workplace incident.</w:t>
      </w:r>
    </w:p>
    <w:p>
      <w:pPr>
        <w:pStyle w:val="ListParagraph"/>
        <w:numPr>
          <w:ilvl w:val="0"/>
          <w:numId w:val="2"/>
        </w:numPr>
        <w:spacing w:after="80"/>
      </w:pPr>
      <w:r>
        <w:rPr>
          <w:rFonts w:ascii="Calibri" w:cs="Calibri" w:eastAsia="Calibri" w:hAnsi="Calibri"/>
          <w:i w:val="false"/>
          <w:iCs w:val="false"/>
          <w:sz w:val="21"/>
          <w:szCs w:val="21"/>
        </w:rPr>
        <w:t xml:space="preserve">A shareholder has expressed serious dissatisfaction with a board decision and has threatened legal action.</w:t>
      </w:r>
    </w:p>
    <w:p>
      <w:pPr>
        <w:pStyle w:val="ListParagraph"/>
        <w:numPr>
          <w:ilvl w:val="0"/>
          <w:numId w:val="2"/>
        </w:numPr>
        <w:spacing w:after="80"/>
      </w:pPr>
      <w:r>
        <w:rPr>
          <w:rFonts w:ascii="Calibri" w:cs="Calibri" w:eastAsia="Calibri" w:hAnsi="Calibri"/>
          <w:i w:val="false"/>
          <w:iCs w:val="false"/>
          <w:sz w:val="21"/>
          <w:szCs w:val="21"/>
        </w:rPr>
        <w:t xml:space="preserve">You have discovered that an employee may have been stealing from the company.</w:t>
      </w:r>
    </w:p>
    <w:p>
      <w:pPr>
        <w:pStyle w:val="ListParagraph"/>
        <w:numPr>
          <w:ilvl w:val="0"/>
          <w:numId w:val="2"/>
        </w:numPr>
        <w:spacing w:after="80"/>
      </w:pPr>
      <w:r>
        <w:rPr>
          <w:rFonts w:ascii="Calibri" w:cs="Calibri" w:eastAsia="Calibri" w:hAnsi="Calibri"/>
          <w:i w:val="false"/>
          <w:iCs w:val="false"/>
          <w:sz w:val="21"/>
          <w:szCs w:val="21"/>
        </w:rPr>
        <w:t xml:space="preserve">ASIC has issued a notice requiring documents or attendance at an examination.</w:t>
      </w:r>
    </w:p>
    <w:p>
      <w:pPr>
        <w:spacing w:after="80" w:before="160"/>
      </w:pPr>
      <w:r>
        <w:rPr>
          <w:rFonts w:ascii="Calibri" w:cs="Calibri" w:eastAsia="Calibri" w:hAnsi="Calibri"/>
          <w:b/>
          <w:bCs/>
          <w:color w:val="1C1915"/>
          <w:sz w:val="22"/>
          <w:szCs w:val="22"/>
        </w:rPr>
        <w:t xml:space="preserve">H.3  Do Not Admit Liability</w:t>
      </w:r>
    </w:p>
    <w:p>
      <w:pPr>
        <w:spacing w:after="160"/>
        <w:jc w:val="both"/>
      </w:pPr>
      <w:r>
        <w:rPr>
          <w:rFonts w:ascii="Calibri" w:cs="Calibri" w:eastAsia="Calibri" w:hAnsi="Calibri"/>
          <w:i w:val="false"/>
          <w:iCs w:val="false"/>
          <w:sz w:val="21"/>
          <w:szCs w:val="21"/>
        </w:rPr>
        <w:t xml:space="preserve">Do not admit liability, make any offer to settle, or agree to pay any amount without our written consent. We will not unreasonably withhold or delay our consent.</w:t>
      </w:r>
    </w:p>
    <w:p>
      <w:pPr>
        <w:spacing w:after="80" w:before="160"/>
      </w:pPr>
      <w:r>
        <w:rPr>
          <w:rFonts w:ascii="Calibri" w:cs="Calibri" w:eastAsia="Calibri" w:hAnsi="Calibri"/>
          <w:b/>
          <w:bCs/>
          <w:color w:val="1C1915"/>
          <w:sz w:val="22"/>
          <w:szCs w:val="22"/>
        </w:rPr>
        <w:t xml:space="preserve">H.4  Cooperate With Us</w:t>
      </w:r>
    </w:p>
    <w:p>
      <w:pPr>
        <w:spacing w:after="160"/>
        <w:jc w:val="both"/>
      </w:pPr>
      <w:r>
        <w:rPr>
          <w:rFonts w:ascii="Calibri" w:cs="Calibri" w:eastAsia="Calibri" w:hAnsi="Calibri"/>
          <w:i w:val="false"/>
          <w:iCs w:val="false"/>
          <w:sz w:val="21"/>
          <w:szCs w:val="21"/>
        </w:rPr>
        <w:t xml:space="preserve">Give us all information, documents, and assistance we reasonably need.</w:t>
      </w:r>
    </w:p>
    <w:p>
      <w:pPr>
        <w:spacing w:after="80" w:before="160"/>
      </w:pPr>
      <w:r>
        <w:rPr>
          <w:rFonts w:ascii="Calibri" w:cs="Calibri" w:eastAsia="Calibri" w:hAnsi="Calibri"/>
          <w:b/>
          <w:bCs/>
          <w:color w:val="1C1915"/>
          <w:sz w:val="22"/>
          <w:szCs w:val="22"/>
        </w:rPr>
        <w:t xml:space="preserve">H.5  Mitigate Your Loss</w:t>
      </w:r>
    </w:p>
    <w:p>
      <w:pPr>
        <w:spacing w:after="160"/>
        <w:jc w:val="both"/>
      </w:pPr>
      <w:r>
        <w:rPr>
          <w:rFonts w:ascii="Calibri" w:cs="Calibri" w:eastAsia="Calibri" w:hAnsi="Calibri"/>
          <w:i w:val="false"/>
          <w:iCs w:val="false"/>
          <w:sz w:val="21"/>
          <w:szCs w:val="21"/>
        </w:rPr>
        <w:t xml:space="preserve">Take all reasonable steps to prevent or reduce any loss.</w:t>
      </w:r>
    </w:p>
    <w:p>
      <w:pPr>
        <w:spacing w:after="80" w:before="160"/>
      </w:pPr>
      <w:r>
        <w:rPr>
          <w:rFonts w:ascii="Calibri" w:cs="Calibri" w:eastAsia="Calibri" w:hAnsi="Calibri"/>
          <w:b/>
          <w:bCs/>
          <w:color w:val="1C1915"/>
          <w:sz w:val="22"/>
          <w:szCs w:val="22"/>
        </w:rPr>
        <w:t xml:space="preserve">H.6  Preserve Our Recovery Rights</w:t>
      </w:r>
    </w:p>
    <w:p>
      <w:pPr>
        <w:spacing w:after="160"/>
        <w:jc w:val="both"/>
      </w:pPr>
      <w:r>
        <w:rPr>
          <w:rFonts w:ascii="Calibri" w:cs="Calibri" w:eastAsia="Calibri" w:hAnsi="Calibri"/>
          <w:i w:val="false"/>
          <w:iCs w:val="false"/>
          <w:sz w:val="21"/>
          <w:szCs w:val="21"/>
        </w:rPr>
        <w:t xml:space="preserve">Do not do anything that might prejudice our right to recover from any third party.</w:t>
      </w:r>
    </w:p>
    <w:p>
      <w:pPr>
        <w:spacing w:after="80" w:before="160"/>
      </w:pPr>
      <w:r>
        <w:rPr>
          <w:rFonts w:ascii="Calibri" w:cs="Calibri" w:eastAsia="Calibri" w:hAnsi="Calibri"/>
          <w:b/>
          <w:bCs/>
          <w:color w:val="1C1915"/>
          <w:sz w:val="22"/>
          <w:szCs w:val="22"/>
        </w:rPr>
        <w:t xml:space="preserve">H.7  Section 54 — Your Statutory Protection</w:t>
      </w:r>
    </w:p>
    <w:p>
      <w:pPr>
        <w:spacing w:after="160"/>
        <w:jc w:val="both"/>
      </w:pPr>
      <w:r>
        <w:rPr>
          <w:rFonts w:ascii="Calibri" w:cs="Calibri" w:eastAsia="Calibri" w:hAnsi="Calibri"/>
          <w:i w:val="false"/>
          <w:iCs w:val="false"/>
          <w:sz w:val="21"/>
          <w:szCs w:val="21"/>
        </w:rPr>
        <w:t xml:space="preserve">Under the Insurance Contracts Act 1984 (Cth), we generally cannot refuse your claim solely because of something you did or failed to do after the policy started — unless that act or omission caused or contributed to the loss, or unless it prejudiced our interests. Where it prejudiced our interests, we may reduce our payment by a fair amount that reflects the prejudice.</w:t>
      </w:r>
    </w:p>
    <w:p>
      <w:pPr>
        <w:spacing w:after="160"/>
        <w:jc w:val="both"/>
      </w:pPr>
      <w:r>
        <w:rPr>
          <w:rFonts w:ascii="Calibri" w:cs="Calibri" w:eastAsia="Calibri" w:hAnsi="Calibri"/>
          <w:i w:val="false"/>
          <w:iCs w:val="false"/>
          <w:sz w:val="21"/>
          <w:szCs w:val="21"/>
        </w:rPr>
        <w:t xml:space="preserve">This means, for example, that if you notify a claim late but the late notification did not prejudice us, we will still pay the claim.</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I General Conditions</w:t>
      </w:r>
    </w:p>
    <w:p>
      <w:pPr>
        <w:spacing w:after="80" w:before="160"/>
      </w:pPr>
      <w:r>
        <w:rPr>
          <w:rFonts w:ascii="Calibri" w:cs="Calibri" w:eastAsia="Calibri" w:hAnsi="Calibri"/>
          <w:b/>
          <w:bCs/>
          <w:color w:val="1C1915"/>
          <w:sz w:val="22"/>
          <w:szCs w:val="22"/>
        </w:rPr>
        <w:t xml:space="preserve">I.1  Your Duty of Disclosure</w:t>
      </w:r>
    </w:p>
    <w:p>
      <w:pPr>
        <w:spacing w:after="160"/>
        <w:jc w:val="both"/>
      </w:pPr>
      <w:r>
        <w:rPr>
          <w:rFonts w:ascii="Calibri" w:cs="Calibri" w:eastAsia="Calibri" w:hAnsi="Calibri"/>
          <w:i w:val="false"/>
          <w:iCs w:val="false"/>
          <w:sz w:val="21"/>
          <w:szCs w:val="21"/>
        </w:rPr>
        <w:t xml:space="preserve">Before you enter into this policy, and before you renew, extend, or vary it, you have a duty to tell us anything you know (or could reasonably be expected to know) that would be relevant to our decision to insure you and on what terms.</w:t>
      </w:r>
    </w:p>
    <w:p>
      <w:pPr>
        <w:spacing w:after="160"/>
        <w:jc w:val="both"/>
      </w:pPr>
      <w:r>
        <w:rPr>
          <w:rFonts w:ascii="Calibri" w:cs="Calibri" w:eastAsia="Calibri" w:hAnsi="Calibri"/>
          <w:i w:val="false"/>
          <w:iCs w:val="false"/>
          <w:sz w:val="21"/>
          <w:szCs w:val="21"/>
        </w:rPr>
        <w:t xml:space="preserve">You do not need to tell us about matters that reduce the risk, that are common knowledge, that we know or should know as an insurer, or that we have told you we do not need to know.</w:t>
      </w:r>
    </w:p>
    <w:p>
      <w:pPr>
        <w:spacing w:after="80" w:before="160"/>
      </w:pPr>
      <w:r>
        <w:rPr>
          <w:rFonts w:ascii="Calibri" w:cs="Calibri" w:eastAsia="Calibri" w:hAnsi="Calibri"/>
          <w:b/>
          <w:bCs/>
          <w:color w:val="1C1915"/>
          <w:sz w:val="22"/>
          <w:szCs w:val="22"/>
        </w:rPr>
        <w:t xml:space="preserve">I.2  Severability and Non-Imputation</w:t>
      </w:r>
    </w:p>
    <w:p>
      <w:pPr>
        <w:spacing w:after="160"/>
        <w:jc w:val="both"/>
      </w:pPr>
      <w:r>
        <w:rPr>
          <w:rFonts w:ascii="Calibri" w:cs="Calibri" w:eastAsia="Calibri" w:hAnsi="Calibri"/>
          <w:i w:val="false"/>
          <w:iCs w:val="false"/>
          <w:sz w:val="21"/>
          <w:szCs w:val="21"/>
        </w:rPr>
        <w:t xml:space="preserve">Severability: The conduct of one insured person will not be attributed to any other insured person for the purposes of determining cover under this policy. Each insured person is treated as if they have their own separate policy.</w:t>
      </w:r>
    </w:p>
    <w:p>
      <w:pPr>
        <w:spacing w:after="160"/>
        <w:jc w:val="both"/>
      </w:pPr>
      <w:r>
        <w:rPr>
          <w:rFonts w:ascii="Calibri" w:cs="Calibri" w:eastAsia="Calibri" w:hAnsi="Calibri"/>
          <w:i w:val="false"/>
          <w:iCs w:val="false"/>
          <w:sz w:val="21"/>
          <w:szCs w:val="21"/>
        </w:rPr>
        <w:t xml:space="preserve">Non-imputation: When assessing the company's duty of disclosure, we will only consider knowledge held by the persons who were responsible for the company's insurance arrangements. Knowledge held by other insured persons will not be imputed to the company.</w:t>
      </w:r>
    </w:p>
    <w:p>
      <w:pPr>
        <w:spacing w:after="80" w:before="160"/>
      </w:pPr>
      <w:r>
        <w:rPr>
          <w:rFonts w:ascii="Calibri" w:cs="Calibri" w:eastAsia="Calibri" w:hAnsi="Calibri"/>
          <w:b/>
          <w:bCs/>
          <w:color w:val="1C1915"/>
          <w:sz w:val="22"/>
          <w:szCs w:val="22"/>
        </w:rPr>
        <w:t xml:space="preserve">I.3  Cancellation</w:t>
      </w:r>
    </w:p>
    <w:p>
      <w:pPr>
        <w:spacing w:after="160"/>
        <w:jc w:val="both"/>
      </w:pPr>
      <w:r>
        <w:rPr>
          <w:rFonts w:ascii="Calibri" w:cs="Calibri" w:eastAsia="Calibri" w:hAnsi="Calibri"/>
          <w:i w:val="false"/>
          <w:iCs w:val="false"/>
          <w:sz w:val="21"/>
          <w:szCs w:val="21"/>
        </w:rPr>
        <w:t xml:space="preserve">By you: Cancel at any time by telling us in writing. We will refund the premium for the unexpired portion, less any amounts paid or reserved.</w:t>
      </w:r>
    </w:p>
    <w:p>
      <w:pPr>
        <w:spacing w:after="160"/>
        <w:jc w:val="both"/>
      </w:pPr>
      <w:r>
        <w:rPr>
          <w:rFonts w:ascii="Calibri" w:cs="Calibri" w:eastAsia="Calibri" w:hAnsi="Calibri"/>
          <w:i w:val="false"/>
          <w:iCs w:val="false"/>
          <w:sz w:val="21"/>
          <w:szCs w:val="21"/>
        </w:rPr>
        <w:t xml:space="preserve">By us: We may only cancel this policy on grounds permitted by the Insurance Contracts Act 1984 (Cth) s.60. Where we are entitled to cancel, we will give you written notice as required by s.59, and will refund the premium for the unexpired portion proportionally.</w:t>
      </w:r>
    </w:p>
    <w:p>
      <w:pPr>
        <w:spacing w:after="80" w:before="160"/>
      </w:pPr>
      <w:r>
        <w:rPr>
          <w:rFonts w:ascii="Calibri" w:cs="Calibri" w:eastAsia="Calibri" w:hAnsi="Calibri"/>
          <w:b/>
          <w:bCs/>
          <w:color w:val="1C1915"/>
          <w:sz w:val="22"/>
          <w:szCs w:val="22"/>
        </w:rPr>
        <w:t xml:space="preserve">I.4  Newly Acquired Subsidiaries</w:t>
      </w:r>
    </w:p>
    <w:p>
      <w:pPr>
        <w:spacing w:after="160"/>
        <w:jc w:val="both"/>
      </w:pPr>
      <w:r>
        <w:rPr>
          <w:rFonts w:ascii="Calibri" w:cs="Calibri" w:eastAsia="Calibri" w:hAnsi="Calibri"/>
          <w:i w:val="false"/>
          <w:iCs w:val="false"/>
          <w:sz w:val="21"/>
          <w:szCs w:val="21"/>
        </w:rPr>
        <w:t xml:space="preserve">If during the policy period you acquire or create a new subsidiary, it is automatically covered for 60 days from the date of acquisition — provided its annual revenue does not exceed $10,000,000 and its activities are similar to yours. You must tell us within 60 days. We may adjust the premium or terms.</w:t>
      </w:r>
    </w:p>
    <w:p>
      <w:pPr>
        <w:spacing w:after="80" w:before="160"/>
      </w:pPr>
      <w:r>
        <w:rPr>
          <w:rFonts w:ascii="Calibri" w:cs="Calibri" w:eastAsia="Calibri" w:hAnsi="Calibri"/>
          <w:b/>
          <w:bCs/>
          <w:color w:val="1C1915"/>
          <w:sz w:val="22"/>
          <w:szCs w:val="22"/>
        </w:rPr>
        <w:t xml:space="preserve">I.5  Continuous Cover</w:t>
      </w:r>
    </w:p>
    <w:p>
      <w:pPr>
        <w:spacing w:after="160"/>
        <w:jc w:val="both"/>
      </w:pPr>
      <w:r>
        <w:rPr>
          <w:rFonts w:ascii="Calibri" w:cs="Calibri" w:eastAsia="Calibri" w:hAnsi="Calibri"/>
          <w:i w:val="false"/>
          <w:iCs w:val="false"/>
          <w:sz w:val="21"/>
          <w:szCs w:val="21"/>
        </w:rPr>
        <w:t xml:space="preserve">If a claim is made during this policy period and arises from a wrongful act that should have been notified under a previous management liability policy, and you did not know about it at the time, and you had continuous management liability cover between the wrongful act and the start of this policy period — we will cover the claim subject to the terms and limits of this policy.</w:t>
      </w:r>
    </w:p>
    <w:p>
      <w:pPr>
        <w:spacing w:after="160"/>
        <w:jc w:val="both"/>
      </w:pPr>
      <w:r>
        <w:rPr>
          <w:rFonts w:ascii="Calibri" w:cs="Calibri" w:eastAsia="Calibri" w:hAnsi="Calibri"/>
          <w:i w:val="false"/>
          <w:iCs w:val="false"/>
          <w:sz w:val="21"/>
          <w:szCs w:val="21"/>
        </w:rPr>
        <w:t xml:space="preserve">This clause does not extend cover to a wrongful act that occurred before the retroactive date (if any) shown in the schedule for the relevant section. This clause applies to claims under Sections A to D. For Section E (Crime), see E.7 (Discovered Before This Policy) and E.9 (Extended Discovery Period).</w:t>
      </w:r>
    </w:p>
    <w:p>
      <w:pPr>
        <w:spacing w:after="80" w:before="160"/>
      </w:pPr>
      <w:r>
        <w:rPr>
          <w:rFonts w:ascii="Calibri" w:cs="Calibri" w:eastAsia="Calibri" w:hAnsi="Calibri"/>
          <w:b/>
          <w:bCs/>
          <w:color w:val="1C1915"/>
          <w:sz w:val="22"/>
          <w:szCs w:val="22"/>
        </w:rPr>
        <w:t xml:space="preserve">I.6  Extended Reporting Period</w:t>
      </w:r>
    </w:p>
    <w:p>
      <w:pPr>
        <w:spacing w:after="160"/>
        <w:jc w:val="both"/>
      </w:pPr>
      <w:r>
        <w:rPr>
          <w:rFonts w:ascii="Calibri" w:cs="Calibri" w:eastAsia="Calibri" w:hAnsi="Calibri"/>
          <w:i w:val="false"/>
          <w:iCs w:val="false"/>
          <w:sz w:val="21"/>
          <w:szCs w:val="21"/>
        </w:rPr>
        <w:t xml:space="preserve">If this policy is not renewed, or is cancelled by you or by us, for any reason other than replacement by another management liability policy providing equivalent cover, and the non-renewal or cancellation is not caused by non-payment of premium, you have an automatic Extended Reporting Period of 90 days after the end of the policy period to notify us of any claim arising from a wrongful act that occurred during or before the policy period.</w:t>
      </w:r>
    </w:p>
    <w:p>
      <w:pPr>
        <w:spacing w:after="160"/>
        <w:jc w:val="both"/>
      </w:pPr>
      <w:r>
        <w:rPr>
          <w:rFonts w:ascii="Calibri" w:cs="Calibri" w:eastAsia="Calibri" w:hAnsi="Calibri"/>
          <w:i w:val="false"/>
          <w:iCs w:val="false"/>
          <w:sz w:val="21"/>
          <w:szCs w:val="21"/>
        </w:rPr>
        <w:t xml:space="preserve">You may purchase an Extended Reporting Period of up to 36 months for an additional premium. You must request this within 30 days of the end of the policy period.</w:t>
      </w:r>
    </w:p>
    <w:p>
      <w:pPr>
        <w:spacing w:after="160"/>
        <w:jc w:val="both"/>
      </w:pPr>
      <w:r>
        <w:rPr>
          <w:rFonts w:ascii="Calibri" w:cs="Calibri" w:eastAsia="Calibri" w:hAnsi="Calibri"/>
          <w:i w:val="false"/>
          <w:iCs w:val="false"/>
          <w:sz w:val="21"/>
          <w:szCs w:val="21"/>
        </w:rPr>
        <w:t xml:space="preserve">This clause does not extend the policy period or reinstate the limit of liability — it extends only the time to notify a claim arising from a wrongful act that occurred before the end of the policy period.</w:t>
      </w:r>
    </w:p>
    <w:p>
      <w:pPr>
        <w:spacing w:after="160"/>
        <w:jc w:val="both"/>
      </w:pPr>
      <w:r>
        <w:rPr>
          <w:rFonts w:ascii="Calibri" w:cs="Calibri" w:eastAsia="Calibri" w:hAnsi="Calibri"/>
          <w:i w:val="false"/>
          <w:iCs w:val="false"/>
          <w:sz w:val="21"/>
          <w:szCs w:val="21"/>
        </w:rPr>
        <w:t xml:space="preserve">This Extended Reporting Period applies to claims under Sections A to D. For Section E (Crime), see E.9 (Extended Discovery Period), which is a separate, equivalent mechanism keyed to discovery rather than to a claim.</w:t>
      </w:r>
    </w:p>
    <w:p>
      <w:pPr>
        <w:spacing w:after="80" w:before="160"/>
      </w:pPr>
      <w:r>
        <w:rPr>
          <w:rFonts w:ascii="Calibri" w:cs="Calibri" w:eastAsia="Calibri" w:hAnsi="Calibri"/>
          <w:b/>
          <w:bCs/>
          <w:color w:val="1C1915"/>
          <w:sz w:val="22"/>
          <w:szCs w:val="22"/>
        </w:rPr>
        <w:t xml:space="preserve">I.7  Governing Law and Jurisdiction</w:t>
      </w:r>
    </w:p>
    <w:p>
      <w:pPr>
        <w:spacing w:after="160"/>
        <w:jc w:val="both"/>
      </w:pPr>
      <w:r>
        <w:rPr>
          <w:rFonts w:ascii="Calibri" w:cs="Calibri" w:eastAsia="Calibri" w:hAnsi="Calibri"/>
          <w:i w:val="false"/>
          <w:iCs w:val="false"/>
          <w:sz w:val="21"/>
          <w:szCs w:val="21"/>
        </w:rPr>
        <w:t xml:space="preserve">This policy is governed by the laws of the Australian state or territory shown in the schedule as the governing law at the start of the policy period.</w:t>
      </w:r>
    </w:p>
    <w:p>
      <w:pPr>
        <w:spacing w:after="160"/>
        <w:jc w:val="both"/>
      </w:pPr>
      <w:r>
        <w:rPr>
          <w:rFonts w:ascii="Calibri" w:cs="Calibri" w:eastAsia="Calibri" w:hAnsi="Calibri"/>
          <w:i w:val="false"/>
          <w:iCs w:val="false"/>
          <w:sz w:val="21"/>
          <w:szCs w:val="21"/>
        </w:rPr>
        <w:t xml:space="preserve">The parties submit to the non-exclusive jurisdiction of the courts of that state or territory, and of courts competent to hear appeals from them.</w:t>
      </w:r>
    </w:p>
    <w:p>
      <w:pPr>
        <w:spacing w:after="80" w:before="160"/>
      </w:pPr>
      <w:r>
        <w:rPr>
          <w:rFonts w:ascii="Calibri" w:cs="Calibri" w:eastAsia="Calibri" w:hAnsi="Calibri"/>
          <w:b/>
          <w:bCs/>
          <w:color w:val="1C1915"/>
          <w:sz w:val="22"/>
          <w:szCs w:val="22"/>
        </w:rPr>
        <w:t xml:space="preserve">I.8  GST</w:t>
      </w:r>
    </w:p>
    <w:p>
      <w:pPr>
        <w:spacing w:after="160"/>
        <w:jc w:val="both"/>
      </w:pPr>
      <w:r>
        <w:rPr>
          <w:rFonts w:ascii="Calibri" w:cs="Calibri" w:eastAsia="Calibri" w:hAnsi="Calibri"/>
          <w:i w:val="false"/>
          <w:iCs w:val="false"/>
          <w:sz w:val="21"/>
          <w:szCs w:val="21"/>
        </w:rPr>
        <w:t xml:space="preserve">When we pay a claim or loss, we will reduce our payment by any input tax credit you are entitled to claim. Tell us the extent of your entitlement.</w:t>
      </w:r>
    </w:p>
    <w:p>
      <w:pPr>
        <w:spacing w:after="80" w:before="160"/>
      </w:pPr>
      <w:r>
        <w:rPr>
          <w:rFonts w:ascii="Calibri" w:cs="Calibri" w:eastAsia="Calibri" w:hAnsi="Calibri"/>
          <w:b/>
          <w:bCs/>
          <w:color w:val="1C1915"/>
          <w:sz w:val="22"/>
          <w:szCs w:val="22"/>
        </w:rPr>
        <w:t xml:space="preserve">I.9  Several Liability</w:t>
      </w:r>
    </w:p>
    <w:p>
      <w:pPr>
        <w:spacing w:after="160"/>
        <w:jc w:val="both"/>
      </w:pPr>
      <w:r>
        <w:rPr>
          <w:rFonts w:ascii="Calibri" w:cs="Calibri" w:eastAsia="Calibri" w:hAnsi="Calibri"/>
          <w:i w:val="false"/>
          <w:iCs w:val="false"/>
          <w:sz w:val="21"/>
          <w:szCs w:val="21"/>
        </w:rPr>
        <w:t xml:space="preserve">If more than one insurer is shown in the schedule, each is responsible only for its own share.</w:t>
      </w:r>
    </w:p>
    <w:p>
      <w:pPr>
        <w:spacing w:after="80" w:before="160"/>
      </w:pPr>
      <w:r>
        <w:rPr>
          <w:rFonts w:ascii="Calibri" w:cs="Calibri" w:eastAsia="Calibri" w:hAnsi="Calibri"/>
          <w:b/>
          <w:bCs/>
          <w:color w:val="1C1915"/>
          <w:sz w:val="22"/>
          <w:szCs w:val="22"/>
        </w:rPr>
        <w:t xml:space="preserve">I.10  Assignment</w:t>
      </w:r>
    </w:p>
    <w:p>
      <w:pPr>
        <w:spacing w:after="160"/>
        <w:jc w:val="both"/>
      </w:pPr>
      <w:r>
        <w:rPr>
          <w:rFonts w:ascii="Calibri" w:cs="Calibri" w:eastAsia="Calibri" w:hAnsi="Calibri"/>
          <w:i w:val="false"/>
          <w:iCs w:val="false"/>
          <w:sz w:val="21"/>
          <w:szCs w:val="21"/>
        </w:rPr>
        <w:t xml:space="preserve">You cannot transfer this policy without our prior written consent.</w:t>
      </w:r>
    </w:p>
    <w:p>
      <w:pPr>
        <w:spacing w:after="80" w:before="160"/>
      </w:pPr>
      <w:r>
        <w:rPr>
          <w:rFonts w:ascii="Calibri" w:cs="Calibri" w:eastAsia="Calibri" w:hAnsi="Calibri"/>
          <w:b/>
          <w:bCs/>
          <w:color w:val="1C1915"/>
          <w:sz w:val="22"/>
          <w:szCs w:val="22"/>
        </w:rPr>
        <w:t xml:space="preserve">I.11  Entire Agreement</w:t>
      </w:r>
    </w:p>
    <w:p>
      <w:pPr>
        <w:spacing w:after="160"/>
        <w:jc w:val="both"/>
      </w:pPr>
      <w:r>
        <w:rPr>
          <w:rFonts w:ascii="Calibri" w:cs="Calibri" w:eastAsia="Calibri" w:hAnsi="Calibri"/>
          <w:i w:val="false"/>
          <w:iCs w:val="false"/>
          <w:sz w:val="21"/>
          <w:szCs w:val="21"/>
        </w:rPr>
        <w:t xml:space="preserve">This policy, the schedule, and any endorsements form the entire agreement between you and us.</w:t>
      </w:r>
    </w:p>
    <w:p>
      <w:pPr>
        <w:spacing w:after="80" w:before="160"/>
      </w:pPr>
      <w:r>
        <w:rPr>
          <w:rFonts w:ascii="Calibri" w:cs="Calibri" w:eastAsia="Calibri" w:hAnsi="Calibri"/>
          <w:b/>
          <w:bCs/>
          <w:color w:val="1C1915"/>
          <w:sz w:val="22"/>
          <w:szCs w:val="22"/>
        </w:rPr>
        <w:t xml:space="preserve">I.12  Disputes and Complaints</w:t>
      </w:r>
    </w:p>
    <w:p>
      <w:pPr>
        <w:spacing w:after="160"/>
        <w:jc w:val="both"/>
      </w:pPr>
      <w:r>
        <w:rPr>
          <w:rFonts w:ascii="Calibri" w:cs="Calibri" w:eastAsia="Calibri" w:hAnsi="Calibri"/>
          <w:i w:val="false"/>
          <w:iCs w:val="false"/>
          <w:sz w:val="21"/>
          <w:szCs w:val="21"/>
        </w:rPr>
        <w:t xml:space="preserve">Contact us first. We will follow our internal dispute resolution process. If not satisfied, you can refer the matter to the Australian Financial Complaints Authority (AFCA):</w:t>
      </w:r>
    </w:p>
    <w:p>
      <w:pPr>
        <w:spacing w:after="160"/>
        <w:jc w:val="both"/>
      </w:pPr>
      <w:r>
        <w:rPr>
          <w:rFonts w:ascii="Calibri" w:cs="Calibri" w:eastAsia="Calibri" w:hAnsi="Calibri"/>
          <w:i w:val="false"/>
          <w:iCs w:val="false"/>
          <w:sz w:val="21"/>
          <w:szCs w:val="21"/>
        </w:rPr>
        <w:t xml:space="preserve">Online: www.afca.org.au · Email: info@afca.org.au · Phone: 1800 931 678</w:t>
      </w:r>
    </w:p>
    <w:p>
      <w:pPr>
        <w:spacing w:after="80" w:before="160"/>
      </w:pPr>
      <w:r>
        <w:rPr>
          <w:rFonts w:ascii="Calibri" w:cs="Calibri" w:eastAsia="Calibri" w:hAnsi="Calibri"/>
          <w:b/>
          <w:bCs/>
          <w:color w:val="1C1915"/>
          <w:sz w:val="22"/>
          <w:szCs w:val="22"/>
        </w:rPr>
        <w:t xml:space="preserve">I.13  Privacy</w:t>
      </w:r>
    </w:p>
    <w:p>
      <w:pPr>
        <w:spacing w:after="160"/>
        <w:jc w:val="both"/>
      </w:pPr>
      <w:r>
        <w:rPr>
          <w:rFonts w:ascii="Calibri" w:cs="Calibri" w:eastAsia="Calibri" w:hAnsi="Calibri"/>
          <w:i w:val="false"/>
          <w:iCs w:val="false"/>
          <w:sz w:val="21"/>
          <w:szCs w:val="21"/>
        </w:rPr>
        <w:t xml:space="preserve">We handle your personal information in accordance with the Privacy Act 1988 (Cth) and the Australian Privacy Principles. Our Privacy Policy is available on our website.</w:t>
      </w:r>
    </w:p>
    <w:p>
      <w:r>
        <w:br w:type="page"/>
      </w:r>
    </w:p>
    <w:p>
      <w:pPr>
        <w:pStyle w:val="Heading1"/>
        <w:pBdr>
          <w:bottom w:val="single" w:color="E2D9C8" w:sz="6"/>
        </w:pBdr>
        <w:spacing w:after="160" w:before="360"/>
      </w:pPr>
      <w:r>
        <w:rPr>
          <w:rFonts w:ascii="Calibri" w:cs="Calibri" w:eastAsia="Calibri" w:hAnsi="Calibri"/>
          <w:b/>
          <w:bCs/>
          <w:color w:val="1C1915"/>
          <w:sz w:val="30"/>
          <w:szCs w:val="30"/>
        </w:rPr>
        <w:t xml:space="preserve">Endorsement Library</w:t>
      </w:r>
    </w:p>
    <w:p>
      <w:pPr>
        <w:spacing w:after="160"/>
        <w:jc w:val="both"/>
      </w:pPr>
      <w:r>
        <w:rPr>
          <w:rFonts w:ascii="Calibri" w:cs="Calibri" w:eastAsia="Calibri" w:hAnsi="Calibri"/>
          <w:i w:val="false"/>
          <w:iCs w:val="false"/>
          <w:sz w:val="21"/>
          <w:szCs w:val="21"/>
        </w:rPr>
        <w:t xml:space="preserve">The following endorsements are available and may be attached to this policy as shown in the schedule.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300"/>
        <w:gridCol w:w="7200"/>
      </w:tblGrid>
      <w:tr>
        <w:trPr>
          <w:tblHeader/>
        </w:trPr>
        <w:tc>
          <w:tcPr>
            <w:tcW w:type="dxa" w:w="23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Code</w:t>
            </w:r>
          </w:p>
        </w:tc>
        <w:tc>
          <w:tcPr>
            <w:tcW w:type="dxa" w:w="7200"/>
            <w:shd w:fill="E2D9C8" w:val="clear"/>
            <w:tcMar>
              <w:top w:type="dxa" w:w="100"/>
              <w:left w:type="dxa" w:w="100"/>
              <w:bottom w:type="dxa" w:w="100"/>
              <w:right w:type="dxa" w:w="100"/>
            </w:tcMar>
            <w:vAlign w:val="top"/>
          </w:tcPr>
          <w:p>
            <w:r>
              <w:rPr>
                <w:rFonts w:ascii="Calibri" w:cs="Calibri" w:eastAsia="Calibri" w:hAnsi="Calibri"/>
                <w:b/>
                <w:bCs/>
                <w:sz w:val="20"/>
                <w:szCs w:val="20"/>
              </w:rPr>
              <w:t xml:space="preserve">Endorsement</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E01</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Extended Reporting Period (Sections A–D) and Extended Discovery Period (Section E) — 12, 24, or 36 months, as shown in the schedule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E02</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Defence costs in addition to the limit of liability (see G.4)</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E03</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United States / Canada jurisdiction extension (see F.6)</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E04</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Increased WHS defence costs sub-limit (see D.2)</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E05</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Increased ASIC investigation costs sub-limit (see A.7)</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E06</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Side A Difference in Conditions (excess/standalone) (see G.5)</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E07</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Social engineering fraud (company) — adds to Section 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E08</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Third-party crime (non-employee dishonesty) — adds to Section E</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E09</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Occupation-specific variations</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E10</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Not-for-profit tailoring (member liability, trustee liability)</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E11</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Excess layer</w:t>
            </w:r>
          </w:p>
        </w:tc>
      </w:tr>
      <w:tr>
        <w:tc>
          <w:tcPr>
            <w:tcW w:type="dxa" w:w="2300"/>
            <w:tcMar>
              <w:top w:type="dxa" w:w="100"/>
              <w:left w:type="dxa" w:w="100"/>
              <w:bottom w:type="dxa" w:w="100"/>
              <w:right w:type="dxa" w:w="100"/>
            </w:tcMar>
            <w:vAlign w:val="top"/>
          </w:tcPr>
          <w:p>
            <w:r>
              <w:rPr>
                <w:rFonts w:ascii="Calibri" w:cs="Calibri" w:eastAsia="Calibri" w:hAnsi="Calibri"/>
                <w:b/>
                <w:bCs/>
                <w:sz w:val="20"/>
                <w:szCs w:val="20"/>
              </w:rPr>
              <w:t xml:space="preserve">E12</w:t>
            </w:r>
          </w:p>
        </w:tc>
        <w:tc>
          <w:tcPr>
            <w:tcW w:type="dxa" w:w="7200"/>
            <w:tcMar>
              <w:top w:type="dxa" w:w="100"/>
              <w:left w:type="dxa" w:w="100"/>
              <w:bottom w:type="dxa" w:w="100"/>
              <w:right w:type="dxa" w:w="100"/>
            </w:tcMar>
            <w:vAlign w:val="top"/>
          </w:tcPr>
          <w:p>
            <w:pPr>
              <w:spacing w:after="60"/>
            </w:pPr>
            <w:r>
              <w:rPr>
                <w:rFonts w:ascii="Calibri" w:cs="Calibri" w:eastAsia="Calibri" w:hAnsi="Calibri"/>
                <w:i w:val="false"/>
                <w:iCs w:val="false"/>
                <w:sz w:val="20"/>
                <w:szCs w:val="20"/>
              </w:rPr>
              <w:t xml:space="preserve">Aggregate limit reinstatement</w:t>
            </w:r>
          </w:p>
        </w:tc>
      </w:tr>
    </w:tbl>
    <w:p>
      <w:pPr>
        <w:spacing w:before="300"/>
      </w:pPr>
    </w:p>
    <w:p>
      <w:pPr>
        <w:spacing w:after="80" w:before="80"/>
        <w:jc w:val="center"/>
      </w:pPr>
      <w:r>
        <w:rPr>
          <w:rFonts w:ascii="Calibri" w:cs="Calibri" w:eastAsia="Calibri" w:hAnsi="Calibri"/>
          <w:b w:val="false"/>
          <w:bCs w:val="false"/>
          <w:i w:val="false"/>
          <w:iCs w:val="false"/>
          <w:color w:val="1C1915"/>
          <w:sz w:val="18"/>
          <w:szCs w:val="18"/>
        </w:rPr>
        <w:t xml:space="preserve">Meridian Commons — Open Source Insurance Wording · CC BY 4.0</w:t>
      </w:r>
    </w:p>
    <w:p>
      <w:pPr>
        <w:spacing w:after="80" w:before="80"/>
        <w:jc w:val="center"/>
      </w:pPr>
      <w:r>
        <w:rPr>
          <w:rFonts w:ascii="Calibri" w:cs="Calibri" w:eastAsia="Calibri" w:hAnsi="Calibri"/>
          <w:b w:val="false"/>
          <w:bCs w:val="false"/>
          <w:i w:val="false"/>
          <w:iCs w:val="false"/>
          <w:color w:val="1C1915"/>
          <w:sz w:val="18"/>
          <w:szCs w:val="18"/>
        </w:rPr>
        <w:t xml:space="preserve">2026/ML/0001 · v1.2.0-DRAFT · July 2026</w:t>
      </w:r>
    </w:p>
    <w:p>
      <w:pPr>
        <w:spacing w:after="160"/>
        <w:jc w:val="center"/>
      </w:pPr>
      <w:r>
        <w:rPr>
          <w:rFonts w:ascii="Calibri" w:cs="Calibri" w:eastAsia="Calibri" w:hAnsi="Calibri"/>
          <w:i w:val="false"/>
          <w:iCs w:val="false"/>
          <w:sz w:val="18"/>
          <w:szCs w:val="18"/>
        </w:rPr>
        <w:t xml:space="preserve">Designed for the Australian market. Assumes application of the Insurance Contracts Act 1984 (Cth). Users are responsible for their own legal review, regulatory compliance, and reinsurance alignment. This wording text is licensed CC BY 4.0; the Meridian name, bearing mark, and Cuttleflow brand assets are excluded from that licence. Adopters must obtain their own legal advice and their capacity provider's approval before use.</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D9C8" w:sz="4" w:space="4"/>
      </w:pBdr>
      <w:tabs>
        <w:tab w:val="right" w:pos="9072"/>
      </w:tabs>
    </w:pPr>
    <w:r>
      <w:rPr>
        <w:rFonts w:ascii="Calibri" w:cs="Calibri" w:eastAsia="Calibri" w:hAnsi="Calibri"/>
        <w:color w:val="1C1915"/>
        <w:sz w:val="14"/>
        <w:szCs w:val="14"/>
      </w:rPr>
      <w:t xml:space="preserve">Meridian ML — 2026/ML/0001 · v1.2.0-DRAFT · DRAFT — SUBJECT TO LEGAL REVIEW — NOT FOR USE</w:t>
    </w:r>
    <w:r>
      <w:rPr>
        <w:rFonts w:ascii="Calibri" w:cs="Calibri" w:eastAsia="Calibri" w:hAnsi="Calibri"/>
      </w:rPr>
      <w:t xml:space="preserve">	</w:t>
    </w:r>
    <w:r>
      <w:rPr>
        <w:rFonts w:ascii="Calibri" w:cs="Calibri" w:eastAsia="Calibri" w:hAnsi="Calibri"/>
        <w:color w:val="1C1915"/>
        <w:sz w:val="14"/>
        <w:szCs w:val="14"/>
      </w:rPr>
      <w:t xml:space="preserve">Page </w:t>
    </w:r>
    <w:r>
      <w:rPr>
        <w:rFonts w:ascii="Calibri" w:cs="Calibri" w:eastAsia="Calibri" w:hAnsi="Calibri"/>
        <w:color w:val="1C1915"/>
        <w:sz w:val="14"/>
        <w:szCs w:val="14"/>
      </w:rPr>
      <w:fldChar w:fldCharType="begin"/>
      <w:instrText xml:space="preserve">PAGE</w:instrText>
      <w:fldChar w:fldCharType="separate"/>
      <w:fldChar w:fldCharType="end"/>
    </w:r>
    <w:r>
      <w:rPr>
        <w:rFonts w:ascii="Calibri" w:cs="Calibri" w:eastAsia="Calibri" w:hAnsi="Calibri"/>
        <w:color w:val="1C1915"/>
        <w:sz w:val="14"/>
        <w:szCs w:val="14"/>
      </w:rPr>
      <w:t xml:space="preserve"> of </w:t>
    </w:r>
    <w:r>
      <w:rPr>
        <w:rFonts w:ascii="Calibri" w:cs="Calibri" w:eastAsia="Calibri" w:hAnsi="Calibri"/>
        <w:color w:val="1C191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4E2C" w:sz="4" w:space="4"/>
      </w:pBdr>
      <w:jc w:val="center"/>
    </w:pPr>
    <w:r>
      <w:rPr>
        <w:rFonts w:ascii="Calibri" w:cs="Calibri" w:eastAsia="Calibri" w:hAnsi="Calibri"/>
        <w:b/>
        <w:bCs/>
        <w:color w:val="1C1915"/>
        <w:sz w:val="16"/>
        <w:szCs w:val="16"/>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2026-07-18T01:26:06.628Z</dcterms:created>
  <dcterms:modified xsi:type="dcterms:W3CDTF">2026-07-18T01:26:06.628Z</dcterms:modified>
</cp:coreProperties>
</file>

<file path=docProps/custom.xml><?xml version="1.0" encoding="utf-8"?>
<Properties xmlns="http://schemas.openxmlformats.org/officeDocument/2006/custom-properties" xmlns:vt="http://schemas.openxmlformats.org/officeDocument/2006/docPropsVTypes"/>
</file>