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400"/>
      </w:pPr>
    </w:p>
    <w:p>
      <w:pPr>
        <w:jc w:val="center"/>
      </w:pPr>
      <w:r>
        <w:rPr>
          <w:color w:val="1C1915"/>
          <w:sz w:val="18"/>
          <w:szCs w:val="18"/>
        </w:rPr>
        <w:t xml:space="preserve">CUTTLEFLOW SYSTEMS · 33°53′S · 151°16′E · SYDNEY</w:t>
      </w:r>
    </w:p>
    <w:p>
      <w:pPr>
        <w:spacing w:after="600"/>
      </w:pPr>
    </w:p>
    <w:p>
      <w:pPr>
        <w:jc w:val="center"/>
      </w:pPr>
      <w:r>
        <w:rPr>
          <w:b/>
          <w:bCs/>
          <w:color w:val="1C1915"/>
          <w:sz w:val="40"/>
          <w:szCs w:val="40"/>
        </w:rPr>
        <w:t xml:space="preserve">INVESTMENT MANAGERS INDEMNITY INSURANCE</w:t>
      </w:r>
    </w:p>
    <w:p>
      <w:pPr>
        <w:spacing w:before="160"/>
        <w:jc w:val="center"/>
      </w:pPr>
      <w:r>
        <w:rPr>
          <w:sz w:val="30"/>
          <w:szCs w:val="30"/>
        </w:rPr>
        <w:t xml:space="preserve">Policy Wording</w:t>
      </w:r>
    </w:p>
    <w:p>
      <w:pPr>
        <w:spacing w:after="300"/>
      </w:pPr>
    </w:p>
    <w:p>
      <w:pPr>
        <w:jc w:val="center"/>
      </w:pPr>
      <w:r>
        <w:rPr>
          <w:i/>
          <w:iCs/>
          <w:sz w:val="22"/>
          <w:szCs w:val="22"/>
        </w:rPr>
        <w:t xml:space="preserve">Meridian Commons — Open Source Insurance Wording</w:t>
      </w:r>
    </w:p>
    <w:p>
      <w:pPr>
        <w:spacing w:before="200"/>
        <w:jc w:val="center"/>
      </w:pPr>
      <w:r>
        <w:rPr>
          <w:sz w:val="20"/>
          <w:szCs w:val="20"/>
        </w:rPr>
        <w:t xml:space="preserve">v1.2.0-DRAFT · July 2026 · Meridian Commons — Open Source Insurance Wording · CC BY 4.0</w:t>
      </w:r>
    </w:p>
    <w:p>
      <w:pPr>
        <w:jc w:val="center"/>
      </w:pPr>
      <w:r>
        <w:rPr>
          <w:sz w:val="20"/>
          <w:szCs w:val="20"/>
        </w:rPr>
        <w:t xml:space="preserve">Document ref: 2026/IMI/0001 · Cuttleflow Systems Pty Ltd</w:t>
      </w:r>
    </w:p>
    <w:p>
      <w:pPr>
        <w:jc w:val="center"/>
      </w:pPr>
      <w:r>
        <w:rPr>
          <w:color w:val="1C1915"/>
          <w:sz w:val="20"/>
          <w:szCs w:val="20"/>
        </w:rPr>
        <w:t xml:space="preserve">Supersedes v1.0.0 (April 2026)</w:t>
      </w:r>
    </w:p>
    <w:p>
      <w:pPr>
        <w:spacing w:after="500"/>
      </w:pPr>
    </w:p>
    <w:p>
      <w:pPr>
        <w:pBdr>
          <w:top w:val="single" w:color="C24E2C" w:sz="6" w:space="8"/>
          <w:bottom w:val="single" w:color="C24E2C" w:sz="6" w:space="8"/>
        </w:pBdr>
        <w:shd w:fill="E2D9C8" w:val="clear"/>
        <w:jc w:val="center"/>
      </w:pPr>
      <w:r>
        <w:rPr>
          <w:b/>
          <w:bCs/>
          <w:color w:val="1C1915"/>
          <w:sz w:val="24"/>
          <w:szCs w:val="24"/>
        </w:rPr>
        <w:t xml:space="preserve">DRAFT — SUBJECT TO LEGAL REVIEW — NOT FOR USE</w:t>
      </w:r>
    </w:p>
    <w:p>
      <w:pPr>
        <w:spacing w:after="400"/>
      </w:pPr>
    </w:p>
    <w:p>
      <w:pPr>
        <w:jc w:val="center"/>
      </w:pPr>
      <w:r>
        <w:rPr>
          <w:color w:val="1C1915"/>
          <w:sz w:val="18"/>
          <w:szCs w:val="18"/>
        </w:rPr>
        <w:t xml:space="preserve">This is a working draft prepared for Wording Partner review. It is not approved for use, distribution to insureds, or reliance by any adopting insurer or agency until a qualified Australian insurance lawyer signs off. tags throughout mark open legal questions for that review.</w:t>
      </w:r>
    </w:p>
    <w:p>
      <w:r>
        <w:br w:type="page"/>
      </w:r>
    </w:p>
    <w:p>
      <w:pPr>
        <w:pStyle w:val="Heading1"/>
      </w:pPr>
      <w:r>
        <w:t xml:space="preserve">Contents</w:t>
      </w:r>
    </w:p>
    <w:sdt>
      <w:sdtPr>
        <w:alias w:val="Contents"/>
      </w:sdtPr>
      <w:sdtContent>
        <w:p>
          <w:r>
            <w:fldChar w:fldCharType="begin" w:dirty="true"/>
            <w:instrText xml:space="preserve">TOC \h \o "1-1"</w:instrText>
            <w:fldChar w:fldCharType="separate"/>
          </w:r>
        </w:p>
        <w:p>
          <w:r>
            <w:fldChar w:fldCharType="end"/>
          </w:r>
        </w:p>
      </w:sdtContent>
    </w:sdt>
    <w:p>
      <w:r>
        <w:br w:type="page"/>
      </w:r>
    </w:p>
    <w:p>
      <w:pPr>
        <w:pStyle w:val="Heading1"/>
        <w:spacing w:after="160" w:before="360"/>
      </w:pPr>
      <w:r>
        <w:t xml:space="preserve">Changes From v1.1.0</w:t>
      </w:r>
    </w:p>
    <w:p>
      <w:pPr>
        <w:spacing w:after="120"/>
      </w:pPr>
      <w:r>
        <w:t xml:space="preserve">Provenance remediation (PROV-CMN-002); drafting-only. The war, terrorism, and nuclear exclusion (5.11), previously a “standard exclusion” placeholder, is now drafted in full in house wording — this both removes reliance on unidentified third-party market text and cures a void-for-uncertainty defect; the “Discovery” definition was reworded to remove the ISO/Chubb-derived discovery-awareness formulation; and the Sanctions clause (5.11) was reworded to remove the LMA-derived sanctions-triplet formulation, with regime scope unchanged. The Appendix B endorsement library is a separate document and is not remediated here.</w:t>
      </w:r>
    </w:p>
    <w:p>
      <w:pPr>
        <w:pStyle w:val="Heading1"/>
        <w:spacing w:after="160" w:before="360"/>
      </w:pPr>
      <w:r>
        <w:t xml:space="preserve">Changes From v1.0.0</w:t>
      </w:r>
    </w:p>
    <w:p>
      <w:pPr>
        <w:spacing w:after="120"/>
      </w:pPr>
      <w:r>
        <w:t xml:space="preserve">This is a remediation release. It implements every Critical and Major finding, and every Minor and Polish finding, from the internal audit of v1.0.0 (doc ref 2026/IMI/0001, April 2026, 24 findings). A full clause-by-clause record is maintained in the companion change register, </w:t>
      </w:r>
      <w:r>
        <w:rPr>
          <w:b/>
          <w:bCs/>
        </w:rPr>
        <w:t xml:space="preserve">IMI_change_register_v1_1_0.md</w:t>
      </w:r>
      <w:r>
        <w:t xml:space="preserve">. Summary by finding:</w:t>
      </w:r>
    </w:p>
    <w:p>
      <w:pPr>
        <w:pStyle w:val="Heading2"/>
        <w:spacing w:after="120" w:before="240"/>
      </w:pPr>
      <w:r>
        <w:t xml:space="preserve">Critical</w:t>
      </w:r>
    </w:p>
    <w:p>
      <w:pPr>
        <w:spacing w:after="60"/>
        <w:ind w:left="504"/>
      </w:pPr>
      <w:r>
        <w:t xml:space="preserve">• </w:t>
      </w:r>
      <w:r>
        <w:rPr>
          <w:b/>
          <w:bCs/>
        </w:rPr>
        <w:t xml:space="preserve">C1</w:t>
      </w:r>
      <w:r>
        <w:t xml:space="preserve"> — The undefined trigger term formerly used in the prior-matters and prior-and-pending-litigation exclusions (a term never carried a definition or a schedule field) is replaced throughout with the defined </w:t>
      </w:r>
      <w:r>
        <w:rPr>
          <w:b/>
          <w:bCs/>
        </w:rPr>
        <w:t xml:space="preserve">retroactive date</w:t>
      </w:r>
      <w:r>
        <w:t xml:space="preserve">. Schedule Item 3 confirmed as the operative field, and now confirmed to apply to Sections 2 and 3 (clauses 5.4, 5.5).</w:t>
      </w:r>
    </w:p>
    <w:p>
      <w:pPr>
        <w:spacing w:after="60"/>
        <w:ind w:left="504"/>
      </w:pPr>
      <w:r>
        <w:t xml:space="preserve">• </w:t>
      </w:r>
      <w:r>
        <w:rPr>
          <w:b/>
          <w:bCs/>
        </w:rPr>
        <w:t xml:space="preserve">C2</w:t>
      </w:r>
      <w:r>
        <w:t xml:space="preserve"> — The Fund's standing to receive payment is resolved end-to-end: the </w:t>
      </w:r>
      <w:r>
        <w:rPr>
          <w:b/>
          <w:bCs/>
        </w:rPr>
        <w:t xml:space="preserve">Insured</w:t>
      </w:r>
      <w:r>
        <w:t xml:space="preserve"> definition (limb (c)) now includes Section 4 (Crime) as well as Section 2, and a new loss-payee clause (4.10, Payment to Funds) states we pay you, for the benefit of the affected fund.</w:t>
      </w:r>
    </w:p>
    <w:p>
      <w:pPr>
        <w:spacing w:after="60"/>
        <w:ind w:left="504"/>
      </w:pPr>
      <w:r>
        <w:t xml:space="preserve">• </w:t>
      </w:r>
      <w:r>
        <w:rPr>
          <w:b/>
          <w:bCs/>
        </w:rPr>
        <w:t xml:space="preserve">C3</w:t>
      </w:r>
      <w:r>
        <w:t xml:space="preserve"> — Clause 2.1 (Financial Services Liability) re-keyed to pay amounts "the insured" becomes legally liable for, not just "you" — so a judgment against a fund is payable under the insuring clause that names the fund as an insured.</w:t>
      </w:r>
    </w:p>
    <w:p>
      <w:pPr>
        <w:spacing w:after="60"/>
        <w:ind w:left="504"/>
      </w:pPr>
      <w:r>
        <w:t xml:space="preserve">• </w:t>
      </w:r>
      <w:r>
        <w:rPr>
          <w:b/>
          <w:bCs/>
        </w:rPr>
        <w:t xml:space="preserve">C4</w:t>
      </w:r>
      <w:r>
        <w:t xml:space="preserve"> — New extension 2.12 (Compliance Costs) added so the defined term </w:t>
      </w:r>
      <w:r>
        <w:rPr>
          <w:b/>
          <w:bCs/>
        </w:rPr>
        <w:t xml:space="preserve">Compliance costs</w:t>
      </w:r>
      <w:r>
        <w:t xml:space="preserve"> is actually insured. tag on its scope.</w:t>
      </w:r>
    </w:p>
    <w:p>
      <w:pPr>
        <w:spacing w:after="60"/>
        <w:ind w:left="504"/>
      </w:pPr>
      <w:r>
        <w:t xml:space="preserve">• </w:t>
      </w:r>
      <w:r>
        <w:rPr>
          <w:b/>
          <w:bCs/>
        </w:rPr>
        <w:t xml:space="preserve">C5</w:t>
      </w:r>
      <w:r>
        <w:t xml:space="preserve"> — The broken cross-reference in the </w:t>
      </w:r>
      <w:r>
        <w:rPr>
          <w:b/>
          <w:bCs/>
        </w:rPr>
        <w:t xml:space="preserve">Loss</w:t>
      </w:r>
      <w:r>
        <w:t xml:space="preserve"> definition (which pointed to the Public Relations extension instead of the fee carve-back) corrected to point to the actual fee carve-back, now clause 5.9 (Fees and Commissions).</w:t>
      </w:r>
    </w:p>
    <w:p>
      <w:pPr>
        <w:pStyle w:val="Heading2"/>
        <w:spacing w:after="120" w:before="240"/>
      </w:pPr>
      <w:r>
        <w:t xml:space="preserve">Major</w:t>
      </w:r>
    </w:p>
    <w:p>
      <w:pPr>
        <w:spacing w:after="60"/>
        <w:ind w:left="504"/>
      </w:pPr>
      <w:r>
        <w:t xml:space="preserve">• </w:t>
      </w:r>
      <w:r>
        <w:rPr>
          <w:b/>
          <w:bCs/>
        </w:rPr>
        <w:t xml:space="preserve">M1</w:t>
      </w:r>
      <w:r>
        <w:t xml:space="preserve"> — New clause 6.8 (Multiple Funds — Limit Sharing) states how the limit is shared where the schedule lists more than one fund. </w:t>
      </w:r>
      <w:r>
        <w:rPr>
          <w:b/>
          <w:bCs/>
          <w:i/>
          <w:iCs/>
          <w:color w:val="1C1915"/>
        </w:rPr>
        <w:t xml:space="preserve"/>
      </w:r>
      <w:r>
        <w:t xml:space="preserve">.</w:t>
      </w:r>
    </w:p>
    <w:p>
      <w:pPr>
        <w:spacing w:after="60"/>
        <w:ind w:left="504"/>
      </w:pPr>
      <w:r>
        <w:t xml:space="preserve">• </w:t>
      </w:r>
      <w:r>
        <w:rPr>
          <w:b/>
          <w:bCs/>
        </w:rPr>
        <w:t xml:space="preserve">M2</w:t>
      </w:r>
      <w:r>
        <w:t xml:space="preserve"> — Section 3 (D&amp;O) now carries an express retroactive-date qualifier in clause 3.1, aligned to the single Schedule Item 3 date used by Section 2. flags this as a judgement call, since v1.0.0 arguably gave Section 3 unrestricted prior-acts cover by omission.</w:t>
      </w:r>
    </w:p>
    <w:p>
      <w:pPr>
        <w:spacing w:after="60"/>
        <w:ind w:left="504"/>
      </w:pPr>
      <w:r>
        <w:t xml:space="preserve">• </w:t>
      </w:r>
      <w:r>
        <w:rPr>
          <w:b/>
          <w:bCs/>
        </w:rPr>
        <w:t xml:space="preserve">M3</w:t>
      </w:r>
      <w:r>
        <w:t xml:space="preserve"> — New clause 4.11 (Single Loss) gives Section 4 its own related-acts aggregation and cross-period rule, mirroring the Claim definition's treatment of related claims for Sections 2 and 3.</w:t>
      </w:r>
    </w:p>
    <w:p>
      <w:pPr>
        <w:spacing w:after="60"/>
        <w:ind w:left="504"/>
      </w:pPr>
      <w:r>
        <w:t xml:space="preserve">• </w:t>
      </w:r>
      <w:r>
        <w:rPr>
          <w:b/>
          <w:bCs/>
        </w:rPr>
        <w:t xml:space="preserve">M4</w:t>
      </w:r>
      <w:r>
        <w:t xml:space="preserve"> — The </w:t>
      </w:r>
      <w:r>
        <w:rPr>
          <w:b/>
          <w:bCs/>
        </w:rPr>
        <w:t xml:space="preserve">Claim</w:t>
      </w:r>
      <w:r>
        <w:t xml:space="preserve"> definition's "related claims" sentence now carries an express relatedness test (same, similar, or related wrongful acts, facts, or originating cause).</w:t>
      </w:r>
    </w:p>
    <w:p>
      <w:pPr>
        <w:spacing w:after="60"/>
        <w:ind w:left="504"/>
      </w:pPr>
      <w:r>
        <w:t xml:space="preserve">• </w:t>
      </w:r>
      <w:r>
        <w:rPr>
          <w:b/>
          <w:bCs/>
        </w:rPr>
        <w:t xml:space="preserve">M5</w:t>
      </w:r>
      <w:r>
        <w:t xml:space="preserve"> — New clause 8.9 (Insurance Contracts Act — Savings): a general no-contracting-out clause naming s 54 expressly. The s 40(3) notification-of-circumstances lifeline is now cited in clauses 2.4 and 7.2, and the "About This Policy" section carries the s 40(1) pre-contractual notice.</w:t>
      </w:r>
    </w:p>
    <w:p>
      <w:pPr>
        <w:spacing w:after="60"/>
        <w:ind w:left="504"/>
      </w:pPr>
      <w:r>
        <w:t xml:space="preserve">• </w:t>
      </w:r>
      <w:r>
        <w:rPr>
          <w:b/>
          <w:bCs/>
        </w:rPr>
        <w:t xml:space="preserve">M6</w:t>
      </w:r>
      <w:r>
        <w:t xml:space="preserve"> — Clause 5.8 (Trading Losses) no longer keys the trading-loss carve-back to an undefined intent standard; it is now keyed to the single defined term </w:t>
      </w:r>
      <w:r>
        <w:rPr>
          <w:b/>
          <w:bCs/>
        </w:rPr>
        <w:t xml:space="preserve">dishonest act</w:t>
      </w:r>
      <w:r>
        <w:t xml:space="preserve">, consistent with clause 4.1.</w:t>
      </w:r>
    </w:p>
    <w:p>
      <w:pPr>
        <w:spacing w:after="60"/>
        <w:ind w:left="504"/>
      </w:pPr>
      <w:r>
        <w:t xml:space="preserve">• </w:t>
      </w:r>
      <w:r>
        <w:rPr>
          <w:b/>
          <w:bCs/>
        </w:rPr>
        <w:t xml:space="preserve">M7</w:t>
      </w:r>
      <w:r>
        <w:t xml:space="preserve"> — New clause 8.10 (Fund Wind-Up Run-Off): cover continues for a wound-up or transferred fund's pre-wind-up wrongful acts / dishonest acts to the end of the existing policy period (and any ERP/discovery notification period), at no additional premium and without a separate limit. flags this as a new, bounded position for underwriting sign-off.</w:t>
      </w:r>
    </w:p>
    <w:p>
      <w:pPr>
        <w:spacing w:after="60"/>
        <w:ind w:left="504"/>
      </w:pPr>
      <w:r>
        <w:t xml:space="preserve">• </w:t>
      </w:r>
      <w:r>
        <w:rPr>
          <w:b/>
          <w:bCs/>
        </w:rPr>
        <w:t xml:space="preserve">M8</w:t>
      </w:r>
      <w:r>
        <w:t xml:space="preserve"> — The crypto/digital-asset position is now explicit: </w:t>
      </w:r>
      <w:r>
        <w:rPr>
          <w:b/>
          <w:bCs/>
        </w:rPr>
        <w:t xml:space="preserve">Fund assets</w:t>
      </w:r>
      <w:r>
        <w:t xml:space="preserve"> and clause 4.1(a) confirm digital assets and cryptocurrency are covered as fund assets in the base wording; new clause 4.12 (Digital Assets and Cryptocurrency) states this and cross-refers to Endorsement E13 for enhanced (custody/wallet-security/valuation) terms. flags the base-form inclusion for underwriting appetite sign-off.</w:t>
      </w:r>
    </w:p>
    <w:p>
      <w:pPr>
        <w:spacing w:after="60"/>
        <w:ind w:left="504"/>
      </w:pPr>
      <w:r>
        <w:t xml:space="preserve">• </w:t>
      </w:r>
      <w:r>
        <w:rPr>
          <w:b/>
          <w:bCs/>
        </w:rPr>
        <w:t xml:space="preserve">M9</w:t>
      </w:r>
      <w:r>
        <w:t xml:space="preserve"> — The </w:t>
      </w:r>
      <w:r>
        <w:rPr>
          <w:b/>
          <w:bCs/>
        </w:rPr>
        <w:t xml:space="preserve">Insured</w:t>
      </w:r>
      <w:r>
        <w:t xml:space="preserve"> definition's fund/other-insurance carve-out is reconciled with the general Other Insurance clause (6.7): a fund with separate insurance no longer loses insured status altogether — this policy instead applies excess of that other insurance.</w:t>
      </w:r>
    </w:p>
    <w:p>
      <w:pPr>
        <w:spacing w:after="60"/>
        <w:ind w:left="504"/>
      </w:pPr>
      <w:r>
        <w:t xml:space="preserve">• </w:t>
      </w:r>
      <w:r>
        <w:rPr>
          <w:b/>
          <w:bCs/>
        </w:rPr>
        <w:t xml:space="preserve">M10</w:t>
      </w:r>
      <w:r>
        <w:t xml:space="preserve"> — Governing law is now fixed at inception via new Schedule Item 10, rather than following wherever the named insured's head office happens to be. A submission-to-jurisdiction clause is added alongside it (clause 8.8).</w:t>
      </w:r>
    </w:p>
    <w:p>
      <w:pPr>
        <w:spacing w:after="60"/>
        <w:ind w:left="504"/>
      </w:pPr>
      <w:r>
        <w:t xml:space="preserve">• </w:t>
      </w:r>
      <w:r>
        <w:rPr>
          <w:b/>
          <w:bCs/>
        </w:rPr>
        <w:t xml:space="preserve">M11</w:t>
      </w:r>
      <w:r>
        <w:t xml:space="preserve"> — The wording is renumbered to one continuous spine, Sections 1–8, with no gaps and no lettered/numbered hybrid. Every cross-reference, the TOC, and the endorsement and practical-guide anchors are propagated to the new numbering.</w:t>
      </w:r>
    </w:p>
    <w:p>
      <w:pPr>
        <w:pStyle w:val="Heading2"/>
        <w:spacing w:after="120" w:before="240"/>
      </w:pPr>
      <w:r>
        <w:t xml:space="preserve">Minor</w:t>
      </w:r>
    </w:p>
    <w:p>
      <w:pPr>
        <w:spacing w:after="60"/>
        <w:ind w:left="504"/>
      </w:pPr>
      <w:r>
        <w:t xml:space="preserve">• </w:t>
      </w:r>
      <w:r>
        <w:rPr>
          <w:b/>
          <w:bCs/>
        </w:rPr>
        <w:t xml:space="preserve">N1</w:t>
      </w:r>
      <w:r>
        <w:t xml:space="preserve"> — Clause 8.8 now describes internal dispute resolution (IDR) before AFCA, consistent with market practice.</w:t>
      </w:r>
    </w:p>
    <w:p>
      <w:pPr>
        <w:spacing w:after="60"/>
        <w:ind w:left="504"/>
      </w:pPr>
      <w:r>
        <w:t xml:space="preserve">• </w:t>
      </w:r>
      <w:r>
        <w:rPr>
          <w:b/>
          <w:bCs/>
        </w:rPr>
        <w:t xml:space="preserve">N2</w:t>
      </w:r>
      <w:r>
        <w:t xml:space="preserve"> — The sanctions clause (5.11) now names the applicable regimes (Autonomous Sanctions Act 2011 (Cth); Charter of the United Nations Act 1945 (Cth); and, as a deliberate scope choice, US/UK/EU sanctions laws).</w:t>
      </w:r>
    </w:p>
    <w:p>
      <w:pPr>
        <w:spacing w:after="60"/>
        <w:ind w:left="504"/>
      </w:pPr>
      <w:r>
        <w:t xml:space="preserve">• </w:t>
      </w:r>
      <w:r>
        <w:rPr>
          <w:b/>
          <w:bCs/>
        </w:rPr>
        <w:t xml:space="preserve">N3</w:t>
      </w:r>
      <w:r>
        <w:t xml:space="preserve"> — The Section 2/3 extended-reporting mechanism is renamed </w:t>
      </w:r>
      <w:r>
        <w:rPr>
          <w:b/>
          <w:bCs/>
        </w:rPr>
        <w:t xml:space="preserve">Extended Reporting Period</w:t>
      </w:r>
      <w:r>
        <w:t xml:space="preserve"> (clause 8.4) to stop colliding with Section 4's discovery trigger.</w:t>
      </w:r>
    </w:p>
    <w:p>
      <w:pPr>
        <w:spacing w:after="60"/>
        <w:ind w:left="504"/>
      </w:pPr>
      <w:r>
        <w:t xml:space="preserve">• </w:t>
      </w:r>
      <w:r>
        <w:rPr>
          <w:b/>
          <w:bCs/>
        </w:rPr>
        <w:t xml:space="preserve">N4</w:t>
      </w:r>
      <w:r>
        <w:t xml:space="preserve"> — Clause 8.4 now cross-refers to Endorsement E08, where the purchasable 12/24/36/72-month options actually live.</w:t>
      </w:r>
    </w:p>
    <w:p>
      <w:pPr>
        <w:spacing w:after="60"/>
        <w:ind w:left="504"/>
      </w:pPr>
      <w:r>
        <w:t xml:space="preserve">• </w:t>
      </w:r>
      <w:r>
        <w:rPr>
          <w:b/>
          <w:bCs/>
        </w:rPr>
        <w:t xml:space="preserve">N5</w:t>
      </w:r>
      <w:r>
        <w:t xml:space="preserve"> — The daily sub-limits in clauses 2.10 (Court Attendance) and 3.10 (Loss of Earnings) now carry a stated aggregate cap per claim.</w:t>
      </w:r>
    </w:p>
    <w:p>
      <w:pPr>
        <w:pStyle w:val="Heading2"/>
        <w:spacing w:after="120" w:before="240"/>
      </w:pPr>
      <w:r>
        <w:t xml:space="preserve">Polish</w:t>
      </w:r>
    </w:p>
    <w:p>
      <w:pPr>
        <w:spacing w:after="60"/>
        <w:ind w:left="504"/>
      </w:pPr>
      <w:r>
        <w:t xml:space="preserve">• </w:t>
      </w:r>
      <w:r>
        <w:rPr>
          <w:b/>
          <w:bCs/>
        </w:rPr>
        <w:t xml:space="preserve">P1</w:t>
      </w:r>
      <w:r>
        <w:t xml:space="preserve"> — Section 8 (the practical guide) is moved out of the operative wording into Appendix A, clearly disclaimed as non-operative.</w:t>
      </w:r>
    </w:p>
    <w:p>
      <w:pPr>
        <w:spacing w:after="60"/>
        <w:ind w:left="504"/>
      </w:pPr>
      <w:r>
        <w:t xml:space="preserve">• </w:t>
      </w:r>
      <w:r>
        <w:rPr>
          <w:b/>
          <w:bCs/>
        </w:rPr>
        <w:t xml:space="preserve">P2</w:t>
      </w:r>
      <w:r>
        <w:t xml:space="preserve"> — The cover-page colophon now uses the Meridian house format ("CUTTLEFLOW SYSTEMS · 33°53′S · 151°16′E · SYDNEY").</w:t>
      </w:r>
    </w:p>
    <w:p>
      <w:pPr>
        <w:spacing w:after="60"/>
        <w:ind w:left="504"/>
      </w:pPr>
      <w:r>
        <w:t xml:space="preserve">• </w:t>
      </w:r>
      <w:r>
        <w:rPr>
          <w:b/>
          <w:bCs/>
        </w:rPr>
        <w:t xml:space="preserve">P3</w:t>
      </w:r>
      <w:r>
        <w:t xml:space="preserve"> — This "Changes From v1.0.0" section is the version-history stub for the commons library going forward.</w:t>
      </w:r>
    </w:p>
    <w:p>
      <w:pPr>
        <w:pStyle w:val="Heading2"/>
        <w:spacing w:after="120" w:before="240"/>
      </w:pPr>
      <w:r>
        <w:t xml:space="preserve">Additional drafting hygiene (not separately numbered findings)</w:t>
      </w:r>
    </w:p>
    <w:p>
      <w:pPr>
        <w:spacing w:after="60"/>
        <w:ind w:left="504"/>
      </w:pPr>
      <w:r>
        <w:t xml:space="preserve">• Clause 7.6 (Duty of Disclosure) restated so the ICA duty attaches to the named insured, with individual treatment as a contractual severability mechanism (clause 8.1) — avoids overstating s 21.</w:t>
      </w:r>
    </w:p>
    <w:p>
      <w:pPr>
        <w:spacing w:after="60"/>
        <w:ind w:left="504"/>
      </w:pPr>
      <w:r>
        <w:t xml:space="preserve">• Clause 8.2 (Non-Rescindable) restated to remove US-style avoidance vocabulary and align with ICA s 28, with an express s 28(3) waiver for innocent insured persons.</w:t>
      </w:r>
    </w:p>
    <w:p>
      <w:pPr>
        <w:spacing w:after="60"/>
        <w:ind w:left="504"/>
      </w:pPr>
      <w:r>
        <w:t xml:space="preserve">• Clause 8.3 (Continuous Cover) now states the lower-of-limits cap required by continuous-cover machinery.</w:t>
      </w:r>
    </w:p>
    <w:p>
      <w:pPr>
        <w:spacing w:after="60"/>
        <w:ind w:left="504"/>
      </w:pPr>
      <w:r>
        <w:t xml:space="preserve">• Clause 8.4 (Extended Reporting Period) now triggers on cancellation as well as non-renewal.</w:t>
      </w:r>
    </w:p>
    <w:p>
      <w:pPr>
        <w:spacing w:after="60"/>
        <w:ind w:left="504"/>
      </w:pPr>
      <w:r>
        <w:t xml:space="preserve">• The Loss definition's fines-and-penalties limb for insured persons is qualified "to the extent insurable at law."</w:t>
      </w:r>
    </w:p>
    <w:p>
      <w:pPr>
        <w:pBdr>
          <w:bottom w:val="single" w:color="E2D9C8" w:sz="6" w:space="1"/>
        </w:pBdr>
        <w:spacing w:after="200" w:before="100"/>
      </w:pPr>
    </w:p>
    <w:p>
      <w:pPr>
        <w:pStyle w:val="Heading1"/>
        <w:spacing w:after="160" w:before="360"/>
      </w:pPr>
      <w:r>
        <w:t xml:space="preserve">About This Policy</w:t>
      </w:r>
    </w:p>
    <w:p>
      <w:pPr>
        <w:spacing w:after="120"/>
      </w:pPr>
      <w:r>
        <w:t xml:space="preserve">Section 2: Professional Liability — claims by investors, clients, and regulators arising from your financial services activities.</w:t>
      </w:r>
    </w:p>
    <w:p>
      <w:pPr>
        <w:spacing w:after="120"/>
      </w:pPr>
      <w:r>
        <w:t xml:space="preserve">Section 3: Directors' and Officers' Liability — personal liability of your directors and officers for management decisions.</w:t>
      </w:r>
    </w:p>
    <w:p>
      <w:pPr>
        <w:spacing w:after="120"/>
      </w:pPr>
      <w:r>
        <w:t xml:space="preserve">Section 4: Crime — direct financial loss from employee dishonesty, fraud, and theft.</w:t>
      </w:r>
    </w:p>
    <w:p>
      <w:pPr>
        <w:spacing w:after="120"/>
      </w:pPr>
      <w:r>
        <w:t xml:space="preserve">By integrating these covers, this policy eliminates the gaps and overlaps that arise when you purchase separate PI, D&amp;O, and crime policies — and provides a single aggregate to manage.</w:t>
      </w:r>
    </w:p>
    <w:p>
      <w:pPr>
        <w:spacing w:after="120"/>
      </w:pPr>
      <w:r>
        <w:t xml:space="preserve">This is a claims-made and notified policy (Sections 2 and 3) and a discovery policy (Section 4).</w:t>
      </w:r>
    </w:p>
    <w:p>
      <w:pPr>
        <w:spacing w:after="120"/>
      </w:pPr>
      <w:r>
        <w:t xml:space="preserve">This policy, together with your schedule and any endorsements, forms your contract of insurance. Words in bold have special meanings — see Section 1.</w:t>
      </w:r>
    </w:p>
    <w:p>
      <w:pPr>
        <w:spacing w:after="120"/>
      </w:pPr>
      <w:r>
        <w:rPr>
          <w:b/>
          <w:bCs/>
        </w:rPr>
        <w:t xml:space="preserve">Notice under s 40(3) of the Insurance Contracts Act 1984 (Cth):</w:t>
      </w:r>
      <w:r>
        <w:t xml:space="preserve"> if, during the policy period, you give us written notice of facts that might give rise to a claim against you, we cannot later refuse to cover a claim arising from those facts merely because it is made after this policy expires. Clauses 2.4 and 7.2 explain how to give that notice. This notice is given to you before you enter into this contract, as required by s 40(1) of the Act.</w:t>
      </w:r>
    </w:p>
    <w:p>
      <w:pPr>
        <w:pBdr>
          <w:bottom w:val="single" w:color="E2D9C8" w:sz="6" w:space="1"/>
        </w:pBdr>
        <w:spacing w:after="200" w:before="100"/>
      </w:pPr>
    </w:p>
    <w:p>
      <w:pPr>
        <w:pStyle w:val="Heading1"/>
        <w:spacing w:after="160" w:before="360"/>
      </w:pPr>
      <w:r>
        <w:t xml:space="preserve">Schedule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600"/>
        <w:gridCol w:w="8000"/>
      </w:tblGrid>
      <w:tr>
        <w:trPr>
          <w:cantSplit/>
        </w:trPr>
        <w:tc>
          <w:tcPr>
            <w:tcW w:type="dxa" w:w="1600"/>
            <w:tcMar>
              <w:top w:type="dxa" w:w="80"/>
              <w:left w:type="dxa" w:w="100"/>
              <w:bottom w:type="dxa" w:w="80"/>
              <w:right w:type="dxa" w:w="100"/>
            </w:tcMar>
            <w:vAlign w:val="top"/>
          </w:tcPr>
          <w:p>
            <w:r>
              <w:rPr>
                <w:b/>
                <w:bCs/>
              </w:rPr>
              <w:t xml:space="preserve">Item 1</w:t>
            </w:r>
          </w:p>
        </w:tc>
        <w:tc>
          <w:tcPr>
            <w:tcW w:type="dxa" w:w="8000"/>
            <w:tcMar>
              <w:top w:type="dxa" w:w="80"/>
              <w:left w:type="dxa" w:w="100"/>
              <w:bottom w:type="dxa" w:w="80"/>
              <w:right w:type="dxa" w:w="100"/>
            </w:tcMar>
            <w:vAlign w:val="top"/>
          </w:tcPr>
          <w:p>
            <w:pPr>
              <w:spacing w:after="60"/>
            </w:pPr>
            <w:r>
              <w:t xml:space="preserve">Named insured, AFSL number, ACN</w:t>
            </w:r>
          </w:p>
        </w:tc>
      </w:tr>
      <w:tr>
        <w:trPr>
          <w:cantSplit/>
        </w:trPr>
        <w:tc>
          <w:tcPr>
            <w:tcW w:type="dxa" w:w="1600"/>
            <w:tcMar>
              <w:top w:type="dxa" w:w="80"/>
              <w:left w:type="dxa" w:w="100"/>
              <w:bottom w:type="dxa" w:w="80"/>
              <w:right w:type="dxa" w:w="100"/>
            </w:tcMar>
            <w:vAlign w:val="top"/>
          </w:tcPr>
          <w:p>
            <w:r>
              <w:rPr>
                <w:b/>
                <w:bCs/>
              </w:rPr>
              <w:t xml:space="preserve">Item 2</w:t>
            </w:r>
          </w:p>
        </w:tc>
        <w:tc>
          <w:tcPr>
            <w:tcW w:type="dxa" w:w="8000"/>
            <w:tcMar>
              <w:top w:type="dxa" w:w="80"/>
              <w:left w:type="dxa" w:w="100"/>
              <w:bottom w:type="dxa" w:w="80"/>
              <w:right w:type="dxa" w:w="100"/>
            </w:tcMar>
            <w:vAlign w:val="top"/>
          </w:tcPr>
          <w:p>
            <w:pPr>
              <w:spacing w:after="60"/>
            </w:pPr>
            <w:r>
              <w:t xml:space="preserve">Policy period</w:t>
            </w:r>
          </w:p>
        </w:tc>
      </w:tr>
      <w:tr>
        <w:trPr>
          <w:cantSplit/>
        </w:trPr>
        <w:tc>
          <w:tcPr>
            <w:tcW w:type="dxa" w:w="1600"/>
            <w:tcMar>
              <w:top w:type="dxa" w:w="80"/>
              <w:left w:type="dxa" w:w="100"/>
              <w:bottom w:type="dxa" w:w="80"/>
              <w:right w:type="dxa" w:w="100"/>
            </w:tcMar>
            <w:vAlign w:val="top"/>
          </w:tcPr>
          <w:p>
            <w:r>
              <w:rPr>
                <w:b/>
                <w:bCs/>
              </w:rPr>
              <w:t xml:space="preserve">Item 3</w:t>
            </w:r>
          </w:p>
        </w:tc>
        <w:tc>
          <w:tcPr>
            <w:tcW w:type="dxa" w:w="8000"/>
            <w:tcMar>
              <w:top w:type="dxa" w:w="80"/>
              <w:left w:type="dxa" w:w="100"/>
              <w:bottom w:type="dxa" w:w="80"/>
              <w:right w:type="dxa" w:w="100"/>
            </w:tcMar>
            <w:vAlign w:val="top"/>
          </w:tcPr>
          <w:p>
            <w:pPr>
              <w:spacing w:after="60"/>
            </w:pPr>
            <w:r>
              <w:t xml:space="preserve">Retroactive date — applies to Sections 2 (Professional Liability) and 3 (Directors' and Officers' Liability). Section 4 (Crime) is discovery-triggered and is not subject to a retroactive date (see clauses 2.1, 3.1, 5.4, 5.5).</w:t>
            </w:r>
          </w:p>
        </w:tc>
      </w:tr>
      <w:tr>
        <w:trPr>
          <w:cantSplit/>
        </w:trPr>
        <w:tc>
          <w:tcPr>
            <w:tcW w:type="dxa" w:w="1600"/>
            <w:tcMar>
              <w:top w:type="dxa" w:w="80"/>
              <w:left w:type="dxa" w:w="100"/>
              <w:bottom w:type="dxa" w:w="80"/>
              <w:right w:type="dxa" w:w="100"/>
            </w:tcMar>
            <w:vAlign w:val="top"/>
          </w:tcPr>
          <w:p>
            <w:r>
              <w:rPr>
                <w:b/>
                <w:bCs/>
              </w:rPr>
              <w:t xml:space="preserve">Item 4</w:t>
            </w:r>
          </w:p>
        </w:tc>
        <w:tc>
          <w:tcPr>
            <w:tcW w:type="dxa" w:w="8000"/>
            <w:tcMar>
              <w:top w:type="dxa" w:w="80"/>
              <w:left w:type="dxa" w:w="100"/>
              <w:bottom w:type="dxa" w:w="80"/>
              <w:right w:type="dxa" w:w="100"/>
            </w:tcMar>
            <w:vAlign w:val="top"/>
          </w:tcPr>
          <w:p>
            <w:pPr>
              <w:spacing w:after="60"/>
            </w:pPr>
            <w:r>
              <w:t xml:space="preserve">Limit of liability — per claim and aggregate, by section and overall</w:t>
            </w:r>
          </w:p>
        </w:tc>
      </w:tr>
      <w:tr>
        <w:trPr>
          <w:cantSplit/>
        </w:trPr>
        <w:tc>
          <w:tcPr>
            <w:tcW w:type="dxa" w:w="1600"/>
            <w:tcMar>
              <w:top w:type="dxa" w:w="80"/>
              <w:left w:type="dxa" w:w="100"/>
              <w:bottom w:type="dxa" w:w="80"/>
              <w:right w:type="dxa" w:w="100"/>
            </w:tcMar>
            <w:vAlign w:val="top"/>
          </w:tcPr>
          <w:p>
            <w:r>
              <w:rPr>
                <w:b/>
                <w:bCs/>
              </w:rPr>
              <w:t xml:space="preserve">Item 5</w:t>
            </w:r>
          </w:p>
        </w:tc>
        <w:tc>
          <w:tcPr>
            <w:tcW w:type="dxa" w:w="8000"/>
            <w:tcMar>
              <w:top w:type="dxa" w:w="80"/>
              <w:left w:type="dxa" w:w="100"/>
              <w:bottom w:type="dxa" w:w="80"/>
              <w:right w:type="dxa" w:w="100"/>
            </w:tcMar>
            <w:vAlign w:val="top"/>
          </w:tcPr>
          <w:p>
            <w:pPr>
              <w:spacing w:after="60"/>
            </w:pPr>
            <w:r>
              <w:t xml:space="preserve">Excess — per claim/loss, by section</w:t>
            </w:r>
          </w:p>
        </w:tc>
      </w:tr>
      <w:tr>
        <w:trPr>
          <w:cantSplit/>
        </w:trPr>
        <w:tc>
          <w:tcPr>
            <w:tcW w:type="dxa" w:w="1600"/>
            <w:tcMar>
              <w:top w:type="dxa" w:w="80"/>
              <w:left w:type="dxa" w:w="100"/>
              <w:bottom w:type="dxa" w:w="80"/>
              <w:right w:type="dxa" w:w="100"/>
            </w:tcMar>
            <w:vAlign w:val="top"/>
          </w:tcPr>
          <w:p>
            <w:r>
              <w:rPr>
                <w:b/>
                <w:bCs/>
              </w:rPr>
              <w:t xml:space="preserve">Item 6</w:t>
            </w:r>
          </w:p>
        </w:tc>
        <w:tc>
          <w:tcPr>
            <w:tcW w:type="dxa" w:w="8000"/>
            <w:tcMar>
              <w:top w:type="dxa" w:w="80"/>
              <w:left w:type="dxa" w:w="100"/>
              <w:bottom w:type="dxa" w:w="80"/>
              <w:right w:type="dxa" w:w="100"/>
            </w:tcMar>
            <w:vAlign w:val="top"/>
          </w:tcPr>
          <w:p>
            <w:pPr>
              <w:spacing w:after="60"/>
            </w:pPr>
            <w:r>
              <w:t xml:space="preserve">Funds under management / advice</w:t>
            </w:r>
          </w:p>
        </w:tc>
      </w:tr>
      <w:tr>
        <w:trPr>
          <w:cantSplit/>
        </w:trPr>
        <w:tc>
          <w:tcPr>
            <w:tcW w:type="dxa" w:w="1600"/>
            <w:tcMar>
              <w:top w:type="dxa" w:w="80"/>
              <w:left w:type="dxa" w:w="100"/>
              <w:bottom w:type="dxa" w:w="80"/>
              <w:right w:type="dxa" w:w="100"/>
            </w:tcMar>
            <w:vAlign w:val="top"/>
          </w:tcPr>
          <w:p>
            <w:r>
              <w:rPr>
                <w:b/>
                <w:bCs/>
              </w:rPr>
              <w:t xml:space="preserve">Item 7</w:t>
            </w:r>
          </w:p>
        </w:tc>
        <w:tc>
          <w:tcPr>
            <w:tcW w:type="dxa" w:w="8000"/>
            <w:tcMar>
              <w:top w:type="dxa" w:w="80"/>
              <w:left w:type="dxa" w:w="100"/>
              <w:bottom w:type="dxa" w:w="80"/>
              <w:right w:type="dxa" w:w="100"/>
            </w:tcMar>
            <w:vAlign w:val="top"/>
          </w:tcPr>
          <w:p>
            <w:pPr>
              <w:spacing w:after="60"/>
            </w:pPr>
            <w:r>
              <w:t xml:space="preserve">Fund(s) — names and details of managed investment schemes, trusts, or funds, and any per-fund sub-limit or limit-sharing arrangement (see clause 6.8)</w:t>
            </w:r>
          </w:p>
        </w:tc>
      </w:tr>
      <w:tr>
        <w:trPr>
          <w:cantSplit/>
        </w:trPr>
        <w:tc>
          <w:tcPr>
            <w:tcW w:type="dxa" w:w="1600"/>
            <w:tcMar>
              <w:top w:type="dxa" w:w="80"/>
              <w:left w:type="dxa" w:w="100"/>
              <w:bottom w:type="dxa" w:w="80"/>
              <w:right w:type="dxa" w:w="100"/>
            </w:tcMar>
            <w:vAlign w:val="top"/>
          </w:tcPr>
          <w:p>
            <w:r>
              <w:rPr>
                <w:b/>
                <w:bCs/>
              </w:rPr>
              <w:t xml:space="preserve">Item 8</w:t>
            </w:r>
          </w:p>
        </w:tc>
        <w:tc>
          <w:tcPr>
            <w:tcW w:type="dxa" w:w="8000"/>
            <w:tcMar>
              <w:top w:type="dxa" w:w="80"/>
              <w:left w:type="dxa" w:w="100"/>
              <w:bottom w:type="dxa" w:w="80"/>
              <w:right w:type="dxa" w:w="100"/>
            </w:tcMar>
            <w:vAlign w:val="top"/>
          </w:tcPr>
          <w:p>
            <w:pPr>
              <w:spacing w:after="60"/>
            </w:pPr>
            <w:r>
              <w:t xml:space="preserve">Endorsements</w:t>
            </w:r>
          </w:p>
        </w:tc>
      </w:tr>
      <w:tr>
        <w:trPr>
          <w:cantSplit/>
        </w:trPr>
        <w:tc>
          <w:tcPr>
            <w:tcW w:type="dxa" w:w="1600"/>
            <w:tcMar>
              <w:top w:type="dxa" w:w="80"/>
              <w:left w:type="dxa" w:w="100"/>
              <w:bottom w:type="dxa" w:w="80"/>
              <w:right w:type="dxa" w:w="100"/>
            </w:tcMar>
            <w:vAlign w:val="top"/>
          </w:tcPr>
          <w:p>
            <w:r>
              <w:rPr>
                <w:b/>
                <w:bCs/>
              </w:rPr>
              <w:t xml:space="preserve">Item 9</w:t>
            </w:r>
          </w:p>
        </w:tc>
        <w:tc>
          <w:tcPr>
            <w:tcW w:type="dxa" w:w="8000"/>
            <w:tcMar>
              <w:top w:type="dxa" w:w="80"/>
              <w:left w:type="dxa" w:w="100"/>
              <w:bottom w:type="dxa" w:w="80"/>
              <w:right w:type="dxa" w:w="100"/>
            </w:tcMar>
            <w:vAlign w:val="top"/>
          </w:tcPr>
          <w:p>
            <w:pPr>
              <w:spacing w:after="60"/>
            </w:pPr>
            <w:r>
              <w:t xml:space="preserve">Premium</w:t>
            </w:r>
          </w:p>
        </w:tc>
      </w:tr>
      <w:tr>
        <w:trPr>
          <w:cantSplit/>
        </w:trPr>
        <w:tc>
          <w:tcPr>
            <w:tcW w:type="dxa" w:w="1600"/>
            <w:tcMar>
              <w:top w:type="dxa" w:w="80"/>
              <w:left w:type="dxa" w:w="100"/>
              <w:bottom w:type="dxa" w:w="80"/>
              <w:right w:type="dxa" w:w="100"/>
            </w:tcMar>
            <w:vAlign w:val="top"/>
          </w:tcPr>
          <w:p>
            <w:r>
              <w:rPr>
                <w:b/>
                <w:bCs/>
              </w:rPr>
              <w:t xml:space="preserve">Item 10</w:t>
            </w:r>
          </w:p>
        </w:tc>
        <w:tc>
          <w:tcPr>
            <w:tcW w:type="dxa" w:w="8000"/>
            <w:tcMar>
              <w:top w:type="dxa" w:w="80"/>
              <w:left w:type="dxa" w:w="100"/>
              <w:bottom w:type="dxa" w:w="80"/>
              <w:right w:type="dxa" w:w="100"/>
            </w:tcMar>
            <w:vAlign w:val="top"/>
          </w:tcPr>
          <w:p>
            <w:pPr>
              <w:spacing w:after="60"/>
            </w:pPr>
            <w:r>
              <w:t xml:space="preserve">Governing law and jurisdiction — the state or territory shown here governs this policy, fixed as at inception (see clause 8.8)</w:t>
            </w:r>
          </w:p>
        </w:tc>
      </w:tr>
    </w:tbl>
    <w:p>
      <w:pPr>
        <w:pBdr>
          <w:bottom w:val="single" w:color="E2D9C8" w:sz="6" w:space="1"/>
        </w:pBdr>
        <w:spacing w:after="200" w:before="100"/>
      </w:pPr>
    </w:p>
    <w:p>
      <w:pPr>
        <w:pStyle w:val="Heading1"/>
        <w:spacing w:after="160" w:before="360"/>
      </w:pPr>
      <w:r>
        <w:t xml:space="preserve">1 Definitions</w:t>
      </w:r>
    </w:p>
    <w:p>
      <w:pPr>
        <w:spacing w:after="120"/>
      </w:pPr>
      <w:r>
        <w:t xml:space="preserve">When the following words appear in bold in this policy, they have the meanings set out below. These definitions apply throughout this policy unless a section expressly states a different meaning for that section.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400"/>
        <w:gridCol w:w="7200"/>
      </w:tblGrid>
      <w:tr>
        <w:trPr>
          <w:cantSplit/>
          <w:tblHeader/>
        </w:trPr>
        <w:tc>
          <w:tcPr>
            <w:tcW w:type="dxa" w:w="2400"/>
            <w:shd w:fill="1B2A4A" w:val="clear"/>
            <w:tcMar>
              <w:top w:type="dxa" w:w="80"/>
              <w:left w:type="dxa" w:w="100"/>
              <w:bottom w:type="dxa" w:w="80"/>
              <w:right w:type="dxa" w:w="100"/>
            </w:tcMar>
          </w:tcPr>
          <w:p>
            <w:r>
              <w:rPr>
                <w:b/>
                <w:bCs/>
                <w:color w:val="4A453F"/>
              </w:rPr>
              <w:t xml:space="preserve">Term</w:t>
            </w:r>
          </w:p>
        </w:tc>
        <w:tc>
          <w:tcPr>
            <w:tcW w:type="dxa" w:w="7200"/>
            <w:shd w:fill="1B2A4A" w:val="clear"/>
            <w:tcMar>
              <w:top w:type="dxa" w:w="80"/>
              <w:left w:type="dxa" w:w="100"/>
              <w:bottom w:type="dxa" w:w="80"/>
              <w:right w:type="dxa" w:w="100"/>
            </w:tcMar>
          </w:tcPr>
          <w:p>
            <w:r>
              <w:rPr>
                <w:b/>
                <w:bCs/>
                <w:color w:val="4A453F"/>
              </w:rPr>
              <w:t xml:space="preserve">Meaning</w:t>
            </w:r>
          </w:p>
        </w:tc>
      </w:tr>
      <w:tr>
        <w:trPr>
          <w:cantSplit/>
        </w:trPr>
        <w:tc>
          <w:tcPr>
            <w:tcW w:type="dxa" w:w="2400"/>
            <w:tcMar>
              <w:top w:type="dxa" w:w="80"/>
              <w:left w:type="dxa" w:w="100"/>
              <w:bottom w:type="dxa" w:w="80"/>
              <w:right w:type="dxa" w:w="100"/>
            </w:tcMar>
            <w:vAlign w:val="top"/>
          </w:tcPr>
          <w:p>
            <w:r>
              <w:rPr>
                <w:b/>
                <w:bCs/>
              </w:rPr>
              <w:t xml:space="preserve">AFSL</w:t>
            </w:r>
          </w:p>
        </w:tc>
        <w:tc>
          <w:tcPr>
            <w:tcW w:type="dxa" w:w="7200"/>
            <w:tcMar>
              <w:top w:type="dxa" w:w="80"/>
              <w:left w:type="dxa" w:w="100"/>
              <w:bottom w:type="dxa" w:w="80"/>
              <w:right w:type="dxa" w:w="100"/>
            </w:tcMar>
            <w:vAlign w:val="top"/>
          </w:tcPr>
          <w:p>
            <w:pPr>
              <w:spacing w:after="60"/>
            </w:pPr>
            <w:r>
              <w:t xml:space="preserve">An Australian Financial Services Licence issued under the Corporations Act 2001 (Cth).</w:t>
            </w:r>
          </w:p>
        </w:tc>
      </w:tr>
      <w:tr>
        <w:trPr>
          <w:cantSplit/>
        </w:trPr>
        <w:tc>
          <w:tcPr>
            <w:tcW w:type="dxa" w:w="2400"/>
            <w:tcMar>
              <w:top w:type="dxa" w:w="80"/>
              <w:left w:type="dxa" w:w="100"/>
              <w:bottom w:type="dxa" w:w="80"/>
              <w:right w:type="dxa" w:w="100"/>
            </w:tcMar>
            <w:vAlign w:val="top"/>
          </w:tcPr>
          <w:p>
            <w:r>
              <w:rPr>
                <w:b/>
                <w:bCs/>
              </w:rPr>
              <w:t xml:space="preserve">Claim</w:t>
            </w:r>
          </w:p>
        </w:tc>
        <w:tc>
          <w:tcPr>
            <w:tcW w:type="dxa" w:w="7200"/>
            <w:tcMar>
              <w:top w:type="dxa" w:w="80"/>
              <w:left w:type="dxa" w:w="100"/>
              <w:bottom w:type="dxa" w:w="80"/>
              <w:right w:type="dxa" w:w="100"/>
            </w:tcMar>
            <w:vAlign w:val="top"/>
          </w:tcPr>
          <w:p>
            <w:pPr>
              <w:spacing w:after="60"/>
            </w:pPr>
            <w:r>
              <w:t xml:space="preserve">Any of the following:</w:t>
            </w:r>
          </w:p>
          <w:p>
            <w:pPr>
              <w:spacing w:after="60"/>
            </w:pPr>
            <w:r>
              <w:t xml:space="preserve">(a) any written demand for compensation against an insured;</w:t>
            </w:r>
          </w:p>
          <w:p>
            <w:pPr>
              <w:spacing w:after="60"/>
            </w:pPr>
            <w:r>
              <w:t xml:space="preserve">(b) any writ, summons, or legal proceeding against an insured;</w:t>
            </w:r>
          </w:p>
          <w:p>
            <w:pPr>
              <w:spacing w:after="60"/>
            </w:pPr>
            <w:r>
              <w:t xml:space="preserve">(c) any regulatory proceeding;</w:t>
            </w:r>
          </w:p>
          <w:p>
            <w:pPr>
              <w:spacing w:after="60"/>
            </w:pPr>
            <w:r>
              <w:t xml:space="preserve">(d) any complaint to AFCA that alleges financial loss;</w:t>
            </w:r>
          </w:p>
          <w:p>
            <w:pPr>
              <w:spacing w:after="60"/>
            </w:pPr>
            <w:r>
              <w:t xml:space="preserve">(e) any derivative action; and</w:t>
            </w:r>
          </w:p>
          <w:p>
            <w:pPr>
              <w:spacing w:after="60"/>
            </w:pPr>
            <w:r>
              <w:t xml:space="preserve">(f) any extradition proceeding against an insured person in connection with a wrongful act.</w:t>
            </w:r>
          </w:p>
          <w:p>
            <w:pPr>
              <w:spacing w:after="60"/>
            </w:pPr>
            <w:r>
              <w:t xml:space="preserve">Claims are related if they arise from the same wrongful act, or from wrongful acts that are the same, similar, or related, or that have a common originating cause, act, omission, or set of facts or circumstances. Related claims are treated as a single claim, first made when the earliest of them was first made.</w:t>
            </w:r>
          </w:p>
        </w:tc>
      </w:tr>
      <w:tr>
        <w:trPr>
          <w:cantSplit/>
        </w:trPr>
        <w:tc>
          <w:tcPr>
            <w:tcW w:type="dxa" w:w="2400"/>
            <w:tcMar>
              <w:top w:type="dxa" w:w="80"/>
              <w:left w:type="dxa" w:w="100"/>
              <w:bottom w:type="dxa" w:w="80"/>
              <w:right w:type="dxa" w:w="100"/>
            </w:tcMar>
            <w:vAlign w:val="top"/>
          </w:tcPr>
          <w:p>
            <w:r>
              <w:rPr>
                <w:b/>
                <w:bCs/>
              </w:rPr>
              <w:t xml:space="preserve">Company</w:t>
            </w:r>
          </w:p>
        </w:tc>
        <w:tc>
          <w:tcPr>
            <w:tcW w:type="dxa" w:w="7200"/>
            <w:tcMar>
              <w:top w:type="dxa" w:w="80"/>
              <w:left w:type="dxa" w:w="100"/>
              <w:bottom w:type="dxa" w:w="80"/>
              <w:right w:type="dxa" w:w="100"/>
            </w:tcMar>
            <w:vAlign w:val="top"/>
          </w:tcPr>
          <w:p>
            <w:pPr>
              <w:spacing w:after="60"/>
            </w:pPr>
            <w:r>
              <w:t xml:space="preserve">The named insured and any subsidiary.</w:t>
            </w:r>
          </w:p>
        </w:tc>
      </w:tr>
      <w:tr>
        <w:trPr>
          <w:cantSplit/>
        </w:trPr>
        <w:tc>
          <w:tcPr>
            <w:tcW w:type="dxa" w:w="2400"/>
            <w:tcMar>
              <w:top w:type="dxa" w:w="80"/>
              <w:left w:type="dxa" w:w="100"/>
              <w:bottom w:type="dxa" w:w="80"/>
              <w:right w:type="dxa" w:w="100"/>
            </w:tcMar>
            <w:vAlign w:val="top"/>
          </w:tcPr>
          <w:p>
            <w:r>
              <w:rPr>
                <w:b/>
                <w:bCs/>
              </w:rPr>
              <w:t xml:space="preserve">Compliance costs</w:t>
            </w:r>
          </w:p>
        </w:tc>
        <w:tc>
          <w:tcPr>
            <w:tcW w:type="dxa" w:w="7200"/>
            <w:tcMar>
              <w:top w:type="dxa" w:w="80"/>
              <w:left w:type="dxa" w:w="100"/>
              <w:bottom w:type="dxa" w:w="80"/>
              <w:right w:type="dxa" w:w="100"/>
            </w:tcMar>
            <w:vAlign w:val="top"/>
          </w:tcPr>
          <w:p>
            <w:pPr>
              <w:spacing w:after="60"/>
            </w:pPr>
            <w:r>
              <w:t xml:space="preserve">The reasonable costs of engaging external compliance consultants or legal advisors to respond to an ASIC or APRA audit, review, or inquiry relating to your financial services activities — where the audit or inquiry is specifically directed at you (not an industry-wide review). See clause 2.12.</w:t>
            </w:r>
          </w:p>
        </w:tc>
      </w:tr>
      <w:tr>
        <w:trPr>
          <w:cantSplit/>
        </w:trPr>
        <w:tc>
          <w:tcPr>
            <w:tcW w:type="dxa" w:w="2400"/>
            <w:tcMar>
              <w:top w:type="dxa" w:w="80"/>
              <w:left w:type="dxa" w:w="100"/>
              <w:bottom w:type="dxa" w:w="80"/>
              <w:right w:type="dxa" w:w="100"/>
            </w:tcMar>
            <w:vAlign w:val="top"/>
          </w:tcPr>
          <w:p>
            <w:r>
              <w:rPr>
                <w:b/>
                <w:bCs/>
              </w:rPr>
              <w:t xml:space="preserve">Defence costs</w:t>
            </w:r>
          </w:p>
        </w:tc>
        <w:tc>
          <w:tcPr>
            <w:tcW w:type="dxa" w:w="7200"/>
            <w:tcMar>
              <w:top w:type="dxa" w:w="80"/>
              <w:left w:type="dxa" w:w="100"/>
              <w:bottom w:type="dxa" w:w="80"/>
              <w:right w:type="dxa" w:w="100"/>
            </w:tcMar>
            <w:vAlign w:val="top"/>
          </w:tcPr>
          <w:p>
            <w:pPr>
              <w:spacing w:after="60"/>
            </w:pPr>
            <w:r>
              <w:t xml:space="preserve">Reasonable legal costs and expenses incurred with our prior written consent to investigate, defend, settle, or appeal a claim. We will not unreasonably withhold or delay consent.</w:t>
            </w:r>
          </w:p>
        </w:tc>
      </w:tr>
      <w:tr>
        <w:trPr>
          <w:cantSplit/>
        </w:trPr>
        <w:tc>
          <w:tcPr>
            <w:tcW w:type="dxa" w:w="2400"/>
            <w:tcMar>
              <w:top w:type="dxa" w:w="80"/>
              <w:left w:type="dxa" w:w="100"/>
              <w:bottom w:type="dxa" w:w="80"/>
              <w:right w:type="dxa" w:w="100"/>
            </w:tcMar>
            <w:vAlign w:val="top"/>
          </w:tcPr>
          <w:p>
            <w:r>
              <w:rPr>
                <w:b/>
                <w:bCs/>
              </w:rPr>
              <w:t xml:space="preserve">Derivative action</w:t>
            </w:r>
          </w:p>
        </w:tc>
        <w:tc>
          <w:tcPr>
            <w:tcW w:type="dxa" w:w="7200"/>
            <w:tcMar>
              <w:top w:type="dxa" w:w="80"/>
              <w:left w:type="dxa" w:w="100"/>
              <w:bottom w:type="dxa" w:w="80"/>
              <w:right w:type="dxa" w:w="100"/>
            </w:tcMar>
            <w:vAlign w:val="top"/>
          </w:tcPr>
          <w:p>
            <w:pPr>
              <w:spacing w:after="60"/>
            </w:pPr>
            <w:r>
              <w:t xml:space="preserve">A proceeding brought under Part 2F.1A of the Corporations Act 2001, or by a unitholder or member of a fund seeking relief on behalf of the fund, for a wrongful act of an insured person.</w:t>
            </w:r>
          </w:p>
        </w:tc>
      </w:tr>
      <w:tr>
        <w:trPr>
          <w:cantSplit/>
        </w:trPr>
        <w:tc>
          <w:tcPr>
            <w:tcW w:type="dxa" w:w="2400"/>
            <w:tcMar>
              <w:top w:type="dxa" w:w="80"/>
              <w:left w:type="dxa" w:w="100"/>
              <w:bottom w:type="dxa" w:w="80"/>
              <w:right w:type="dxa" w:w="100"/>
            </w:tcMar>
            <w:vAlign w:val="top"/>
          </w:tcPr>
          <w:p>
            <w:r>
              <w:rPr>
                <w:b/>
                <w:bCs/>
              </w:rPr>
              <w:t xml:space="preserve">Discovery</w:t>
            </w:r>
          </w:p>
        </w:tc>
        <w:tc>
          <w:tcPr>
            <w:tcW w:type="dxa" w:w="7200"/>
            <w:tcMar>
              <w:top w:type="dxa" w:w="80"/>
              <w:left w:type="dxa" w:w="100"/>
              <w:bottom w:type="dxa" w:w="80"/>
              <w:right w:type="dxa" w:w="100"/>
            </w:tcMar>
            <w:vAlign w:val="top"/>
          </w:tcPr>
          <w:p>
            <w:pPr>
              <w:spacing w:after="60"/>
            </w:pPr>
            <w:r>
              <w:t xml:space="preserve">The point at which any responsible person first has reason to believe, on the information then available, that a loss covered by Section 4 has been or is likely to have been sustained, whether or not the amount, cause, or full circumstances of the loss are then known.</w:t>
            </w:r>
          </w:p>
        </w:tc>
      </w:tr>
      <w:tr>
        <w:trPr>
          <w:cantSplit/>
        </w:trPr>
        <w:tc>
          <w:tcPr>
            <w:tcW w:type="dxa" w:w="2400"/>
            <w:tcMar>
              <w:top w:type="dxa" w:w="80"/>
              <w:left w:type="dxa" w:w="100"/>
              <w:bottom w:type="dxa" w:w="80"/>
              <w:right w:type="dxa" w:w="100"/>
            </w:tcMar>
            <w:vAlign w:val="top"/>
          </w:tcPr>
          <w:p>
            <w:r>
              <w:rPr>
                <w:b/>
                <w:bCs/>
              </w:rPr>
              <w:t xml:space="preserve">Dishonest act</w:t>
            </w:r>
          </w:p>
        </w:tc>
        <w:tc>
          <w:tcPr>
            <w:tcW w:type="dxa" w:w="7200"/>
            <w:tcMar>
              <w:top w:type="dxa" w:w="80"/>
              <w:left w:type="dxa" w:w="100"/>
              <w:bottom w:type="dxa" w:w="80"/>
              <w:right w:type="dxa" w:w="100"/>
            </w:tcMar>
            <w:vAlign w:val="top"/>
          </w:tcPr>
          <w:p>
            <w:pPr>
              <w:spacing w:after="60"/>
            </w:pPr>
            <w:r>
              <w:t xml:space="preserve">An act committed by an employee with the clear intention to cause you or a fund direct financial loss and to obtain a personal financial benefit beyond their normal compensation.</w:t>
            </w:r>
          </w:p>
        </w:tc>
      </w:tr>
      <w:tr>
        <w:trPr>
          <w:cantSplit/>
        </w:trPr>
        <w:tc>
          <w:tcPr>
            <w:tcW w:type="dxa" w:w="2400"/>
            <w:tcMar>
              <w:top w:type="dxa" w:w="80"/>
              <w:left w:type="dxa" w:w="100"/>
              <w:bottom w:type="dxa" w:w="80"/>
              <w:right w:type="dxa" w:w="100"/>
            </w:tcMar>
            <w:vAlign w:val="top"/>
          </w:tcPr>
          <w:p>
            <w:r>
              <w:rPr>
                <w:b/>
                <w:bCs/>
              </w:rPr>
              <w:t xml:space="preserve">Employee</w:t>
            </w:r>
          </w:p>
        </w:tc>
        <w:tc>
          <w:tcPr>
            <w:tcW w:type="dxa" w:w="7200"/>
            <w:tcMar>
              <w:top w:type="dxa" w:w="80"/>
              <w:left w:type="dxa" w:w="100"/>
              <w:bottom w:type="dxa" w:w="80"/>
              <w:right w:type="dxa" w:w="100"/>
            </w:tcMar>
            <w:vAlign w:val="top"/>
          </w:tcPr>
          <w:p>
            <w:pPr>
              <w:spacing w:after="60"/>
            </w:pPr>
            <w:r>
              <w:t xml:space="preserve">Any natural person who works for the company under a contract of employment, including permanent, fixed-term, casual, and part-time employees. It includes:</w:t>
            </w:r>
          </w:p>
          <w:p>
            <w:pPr>
              <w:spacing w:after="60"/>
            </w:pPr>
            <w:r>
              <w:t xml:space="preserve">(a) authorised representatives appointed under your AFSL;</w:t>
            </w:r>
          </w:p>
          <w:p>
            <w:pPr>
              <w:spacing w:after="60"/>
            </w:pPr>
            <w:r>
              <w:t xml:space="preserve">(b) persons seconded to you and working under your direction;</w:t>
            </w:r>
          </w:p>
          <w:p>
            <w:pPr>
              <w:spacing w:after="60"/>
            </w:pPr>
            <w:r>
              <w:t xml:space="preserve">(c) temporary and labour hire workers under your supervision; and</w:t>
            </w:r>
          </w:p>
          <w:p>
            <w:pPr>
              <w:spacing w:after="60"/>
            </w:pPr>
            <w:r>
              <w:t xml:space="preserve">(d) volunteers and interns.</w:t>
            </w:r>
          </w:p>
          <w:p>
            <w:pPr>
              <w:spacing w:after="60"/>
            </w:pPr>
            <w:r>
              <w:t xml:space="preserve">It does not include independent contractors, external auditors, custodians, or prime brokers.</w:t>
            </w:r>
          </w:p>
        </w:tc>
      </w:tr>
      <w:tr>
        <w:trPr>
          <w:cantSplit/>
        </w:trPr>
        <w:tc>
          <w:tcPr>
            <w:tcW w:type="dxa" w:w="2400"/>
            <w:tcMar>
              <w:top w:type="dxa" w:w="80"/>
              <w:left w:type="dxa" w:w="100"/>
              <w:bottom w:type="dxa" w:w="80"/>
              <w:right w:type="dxa" w:w="100"/>
            </w:tcMar>
            <w:vAlign w:val="top"/>
          </w:tcPr>
          <w:p>
            <w:r>
              <w:rPr>
                <w:b/>
                <w:bCs/>
              </w:rPr>
              <w:t xml:space="preserve">Endorsement</w:t>
            </w:r>
          </w:p>
        </w:tc>
        <w:tc>
          <w:tcPr>
            <w:tcW w:type="dxa" w:w="7200"/>
            <w:tcMar>
              <w:top w:type="dxa" w:w="80"/>
              <w:left w:type="dxa" w:w="100"/>
              <w:bottom w:type="dxa" w:w="80"/>
              <w:right w:type="dxa" w:w="100"/>
            </w:tcMar>
            <w:vAlign w:val="top"/>
          </w:tcPr>
          <w:p>
            <w:pPr>
              <w:spacing w:after="60"/>
            </w:pPr>
            <w:r>
              <w:t xml:space="preserve">A document attached to this policy that changes its terms.</w:t>
            </w:r>
          </w:p>
        </w:tc>
      </w:tr>
      <w:tr>
        <w:trPr>
          <w:cantSplit/>
        </w:trPr>
        <w:tc>
          <w:tcPr>
            <w:tcW w:type="dxa" w:w="2400"/>
            <w:tcMar>
              <w:top w:type="dxa" w:w="80"/>
              <w:left w:type="dxa" w:w="100"/>
              <w:bottom w:type="dxa" w:w="80"/>
              <w:right w:type="dxa" w:w="100"/>
            </w:tcMar>
            <w:vAlign w:val="top"/>
          </w:tcPr>
          <w:p>
            <w:r>
              <w:rPr>
                <w:b/>
                <w:bCs/>
              </w:rPr>
              <w:t xml:space="preserve">Excess</w:t>
            </w:r>
          </w:p>
        </w:tc>
        <w:tc>
          <w:tcPr>
            <w:tcW w:type="dxa" w:w="7200"/>
            <w:tcMar>
              <w:top w:type="dxa" w:w="80"/>
              <w:left w:type="dxa" w:w="100"/>
              <w:bottom w:type="dxa" w:w="80"/>
              <w:right w:type="dxa" w:w="100"/>
            </w:tcMar>
            <w:vAlign w:val="top"/>
          </w:tcPr>
          <w:p>
            <w:pPr>
              <w:spacing w:after="60"/>
            </w:pPr>
            <w:r>
              <w:t xml:space="preserve">The amount shown in the schedule that you must pay as the first part of each claim or loss.</w:t>
            </w:r>
          </w:p>
        </w:tc>
      </w:tr>
      <w:tr>
        <w:trPr>
          <w:cantSplit/>
        </w:trPr>
        <w:tc>
          <w:tcPr>
            <w:tcW w:type="dxa" w:w="2400"/>
            <w:tcMar>
              <w:top w:type="dxa" w:w="80"/>
              <w:left w:type="dxa" w:w="100"/>
              <w:bottom w:type="dxa" w:w="80"/>
              <w:right w:type="dxa" w:w="100"/>
            </w:tcMar>
            <w:vAlign w:val="top"/>
          </w:tcPr>
          <w:p>
            <w:r>
              <w:rPr>
                <w:b/>
                <w:bCs/>
              </w:rPr>
              <w:t xml:space="preserve">Financial services activities</w:t>
            </w:r>
          </w:p>
        </w:tc>
        <w:tc>
          <w:tcPr>
            <w:tcW w:type="dxa" w:w="7200"/>
            <w:tcMar>
              <w:top w:type="dxa" w:w="80"/>
              <w:left w:type="dxa" w:w="100"/>
              <w:bottom w:type="dxa" w:w="80"/>
              <w:right w:type="dxa" w:w="100"/>
            </w:tcMar>
            <w:vAlign w:val="top"/>
          </w:tcPr>
          <w:p>
            <w:pPr>
              <w:spacing w:after="60"/>
            </w:pPr>
            <w:r>
              <w:t xml:space="preserve">Any of the following:</w:t>
            </w:r>
          </w:p>
          <w:p>
            <w:pPr>
              <w:spacing w:after="60"/>
            </w:pPr>
            <w:r>
              <w:t xml:space="preserve">(a) the provision of financial product advice (general and personal) under your AFSL;</w:t>
            </w:r>
          </w:p>
          <w:p>
            <w:pPr>
              <w:spacing w:after="60"/>
            </w:pPr>
            <w:r>
              <w:t xml:space="preserve">(b) dealing in financial products under your AFSL;</w:t>
            </w:r>
          </w:p>
          <w:p>
            <w:pPr>
              <w:spacing w:after="60"/>
            </w:pPr>
            <w:r>
              <w:t xml:space="preserve">(c) the operation, management, or administration of a fund;</w:t>
            </w:r>
          </w:p>
          <w:p>
            <w:pPr>
              <w:spacing w:after="60"/>
            </w:pPr>
            <w:r>
              <w:t xml:space="preserve">(d) acting as trustee or responsible entity of a fund;</w:t>
            </w:r>
          </w:p>
          <w:p>
            <w:pPr>
              <w:spacing w:after="60"/>
            </w:pPr>
            <w:r>
              <w:t xml:space="preserve">(e) the provision of custodial or depository services;</w:t>
            </w:r>
          </w:p>
          <w:p>
            <w:pPr>
              <w:spacing w:after="60"/>
            </w:pPr>
            <w:r>
              <w:t xml:space="preserve">(f) portfolio management and investment management;</w:t>
            </w:r>
          </w:p>
          <w:p>
            <w:pPr>
              <w:spacing w:after="60"/>
            </w:pPr>
            <w:r>
              <w:t xml:space="preserve">(g) investor reporting, unit pricing, and fund accounting;</w:t>
            </w:r>
          </w:p>
          <w:p>
            <w:pPr>
              <w:spacing w:after="60"/>
            </w:pPr>
            <w:r>
              <w:t xml:space="preserve">(h) investor communication, marketing, and distribution of financial products;</w:t>
            </w:r>
          </w:p>
          <w:p>
            <w:pPr>
              <w:spacing w:after="60"/>
            </w:pPr>
            <w:r>
              <w:t xml:space="preserve">(i) compliance, risk management, and governance activities in connection with your AFSL; and</w:t>
            </w:r>
          </w:p>
          <w:p>
            <w:pPr>
              <w:spacing w:after="60"/>
            </w:pPr>
            <w:r>
              <w:t xml:space="preserve">(j) any other activity authorised under your AFSL or required by law in connection with your role as investment manager, trustee, or responsible entity.</w:t>
            </w:r>
          </w:p>
        </w:tc>
      </w:tr>
      <w:tr>
        <w:trPr>
          <w:cantSplit/>
        </w:trPr>
        <w:tc>
          <w:tcPr>
            <w:tcW w:type="dxa" w:w="2400"/>
            <w:tcMar>
              <w:top w:type="dxa" w:w="80"/>
              <w:left w:type="dxa" w:w="100"/>
              <w:bottom w:type="dxa" w:w="80"/>
              <w:right w:type="dxa" w:w="100"/>
            </w:tcMar>
            <w:vAlign w:val="top"/>
          </w:tcPr>
          <w:p>
            <w:r>
              <w:rPr>
                <w:b/>
                <w:bCs/>
              </w:rPr>
              <w:t xml:space="preserve">Fund</w:t>
            </w:r>
          </w:p>
        </w:tc>
        <w:tc>
          <w:tcPr>
            <w:tcW w:type="dxa" w:w="7200"/>
            <w:tcMar>
              <w:top w:type="dxa" w:w="80"/>
              <w:left w:type="dxa" w:w="100"/>
              <w:bottom w:type="dxa" w:w="80"/>
              <w:right w:type="dxa" w:w="100"/>
            </w:tcMar>
            <w:vAlign w:val="top"/>
          </w:tcPr>
          <w:p>
            <w:pPr>
              <w:spacing w:after="60"/>
            </w:pPr>
            <w:r>
              <w:t xml:space="preserve">Any managed investment scheme, unit trust, superannuation fund, pooled investment vehicle, separately managed account, or other investment structure operated, managed, or administered by you, including the funds named in the schedule and any fund established during the policy period.</w:t>
            </w:r>
          </w:p>
        </w:tc>
      </w:tr>
      <w:tr>
        <w:trPr>
          <w:cantSplit/>
        </w:trPr>
        <w:tc>
          <w:tcPr>
            <w:tcW w:type="dxa" w:w="2400"/>
            <w:tcMar>
              <w:top w:type="dxa" w:w="80"/>
              <w:left w:type="dxa" w:w="100"/>
              <w:bottom w:type="dxa" w:w="80"/>
              <w:right w:type="dxa" w:w="100"/>
            </w:tcMar>
            <w:vAlign w:val="top"/>
          </w:tcPr>
          <w:p>
            <w:r>
              <w:rPr>
                <w:b/>
                <w:bCs/>
              </w:rPr>
              <w:t xml:space="preserve">Fund assets</w:t>
            </w:r>
          </w:p>
        </w:tc>
        <w:tc>
          <w:tcPr>
            <w:tcW w:type="dxa" w:w="7200"/>
            <w:tcMar>
              <w:top w:type="dxa" w:w="80"/>
              <w:left w:type="dxa" w:w="100"/>
              <w:bottom w:type="dxa" w:w="80"/>
              <w:right w:type="dxa" w:w="100"/>
            </w:tcMar>
            <w:vAlign w:val="top"/>
          </w:tcPr>
          <w:p>
            <w:pPr>
              <w:spacing w:after="60"/>
            </w:pPr>
            <w:r>
              <w:t xml:space="preserve">The money, securities, financial instruments, digital assets, cryptocurrency, and other assets held in or on behalf of a fund, including assets held by a custodian on behalf of the fund. See clause 4.12 for the digital-asset position and Endorsement E13 for enhanced terms.</w:t>
            </w:r>
          </w:p>
        </w:tc>
      </w:tr>
      <w:tr>
        <w:trPr>
          <w:cantSplit/>
        </w:trPr>
        <w:tc>
          <w:tcPr>
            <w:tcW w:type="dxa" w:w="2400"/>
            <w:tcMar>
              <w:top w:type="dxa" w:w="80"/>
              <w:left w:type="dxa" w:w="100"/>
              <w:bottom w:type="dxa" w:w="80"/>
              <w:right w:type="dxa" w:w="100"/>
            </w:tcMar>
            <w:vAlign w:val="top"/>
          </w:tcPr>
          <w:p>
            <w:r>
              <w:rPr>
                <w:b/>
                <w:bCs/>
              </w:rPr>
              <w:t xml:space="preserve">Insured</w:t>
            </w:r>
          </w:p>
        </w:tc>
        <w:tc>
          <w:tcPr>
            <w:tcW w:type="dxa" w:w="7200"/>
            <w:tcMar>
              <w:top w:type="dxa" w:w="80"/>
              <w:left w:type="dxa" w:w="100"/>
              <w:bottom w:type="dxa" w:w="80"/>
              <w:right w:type="dxa" w:w="100"/>
            </w:tcMar>
            <w:vAlign w:val="top"/>
          </w:tcPr>
          <w:p>
            <w:pPr>
              <w:spacing w:after="60"/>
            </w:pPr>
            <w:r>
              <w:t xml:space="preserve">(a) the company (for all sections);</w:t>
            </w:r>
          </w:p>
          <w:p>
            <w:pPr>
              <w:spacing w:after="60"/>
            </w:pPr>
            <w:r>
              <w:t xml:space="preserve">(b) any insured person (for all sections); and</w:t>
            </w:r>
          </w:p>
          <w:p>
            <w:pPr>
              <w:spacing w:after="60"/>
            </w:pPr>
            <w:r>
              <w:t xml:space="preserve">(c) any fund, for Sections 2 and 4 only, to the extent you manage or administer the fund. If a fund has separate insurance of its own that responds to the same loss, this policy applies excess of that other insurance (see clause 6.7); the fund does not cease to be an insured merely because it holds separate insurance of its own.</w:t>
            </w:r>
          </w:p>
        </w:tc>
      </w:tr>
      <w:tr>
        <w:trPr>
          <w:cantSplit/>
        </w:trPr>
        <w:tc>
          <w:tcPr>
            <w:tcW w:type="dxa" w:w="2400"/>
            <w:tcMar>
              <w:top w:type="dxa" w:w="80"/>
              <w:left w:type="dxa" w:w="100"/>
              <w:bottom w:type="dxa" w:w="80"/>
              <w:right w:type="dxa" w:w="100"/>
            </w:tcMar>
            <w:vAlign w:val="top"/>
          </w:tcPr>
          <w:p>
            <w:r>
              <w:rPr>
                <w:b/>
                <w:bCs/>
              </w:rPr>
              <w:t xml:space="preserve">Insured person</w:t>
            </w:r>
          </w:p>
        </w:tc>
        <w:tc>
          <w:tcPr>
            <w:tcW w:type="dxa" w:w="7200"/>
            <w:tcMar>
              <w:top w:type="dxa" w:w="80"/>
              <w:left w:type="dxa" w:w="100"/>
              <w:bottom w:type="dxa" w:w="80"/>
              <w:right w:type="dxa" w:w="100"/>
            </w:tcMar>
            <w:vAlign w:val="top"/>
          </w:tcPr>
          <w:p>
            <w:pPr>
              <w:spacing w:after="60"/>
            </w:pPr>
            <w:r>
              <w:t xml:space="preserve">Any natural person who is, was, or during the policy period becomes:</w:t>
            </w:r>
          </w:p>
          <w:p>
            <w:pPr>
              <w:spacing w:after="60"/>
            </w:pPr>
            <w:r>
              <w:t xml:space="preserve">(a) a director (including shadow and de facto directors) of the company;</w:t>
            </w:r>
          </w:p>
          <w:p>
            <w:pPr>
              <w:spacing w:after="60"/>
            </w:pPr>
            <w:r>
              <w:t xml:space="preserve">(b) an officer of the company (including company secretary, CEO, CFO, CIO, chief compliance officer, portfolio managers, and any person who participates in investment or management decisions affecting the whole or substantial part of the business);</w:t>
            </w:r>
          </w:p>
          <w:p>
            <w:pPr>
              <w:spacing w:after="60"/>
            </w:pPr>
            <w:r>
              <w:t xml:space="preserve">(c) a member of any investment committee, compliance committee, risk committee, or equivalent body;</w:t>
            </w:r>
          </w:p>
          <w:p>
            <w:pPr>
              <w:spacing w:after="60"/>
            </w:pPr>
            <w:r>
              <w:t xml:space="preserve">(d) a trustee or member of the board of a fund (where the fund has its own governing body);</w:t>
            </w:r>
          </w:p>
          <w:p>
            <w:pPr>
              <w:spacing w:after="60"/>
            </w:pPr>
            <w:r>
              <w:t xml:space="preserve">(e) an equivalent person in any subsidiary; and</w:t>
            </w:r>
          </w:p>
          <w:p>
            <w:pPr>
              <w:spacing w:after="60"/>
            </w:pPr>
            <w:r>
              <w:t xml:space="preserve">(f) the spouse, domestic partner, estate, or legal representative of any of the above — but only for claims arising from that person's wrongful acts.</w:t>
            </w:r>
          </w:p>
        </w:tc>
      </w:tr>
      <w:tr>
        <w:trPr>
          <w:cantSplit/>
        </w:trPr>
        <w:tc>
          <w:tcPr>
            <w:tcW w:type="dxa" w:w="2400"/>
            <w:tcMar>
              <w:top w:type="dxa" w:w="80"/>
              <w:left w:type="dxa" w:w="100"/>
              <w:bottom w:type="dxa" w:w="80"/>
              <w:right w:type="dxa" w:w="100"/>
            </w:tcMar>
            <w:vAlign w:val="top"/>
          </w:tcPr>
          <w:p>
            <w:r>
              <w:rPr>
                <w:b/>
                <w:bCs/>
              </w:rPr>
              <w:t xml:space="preserve">Limit of liability</w:t>
            </w:r>
          </w:p>
        </w:tc>
        <w:tc>
          <w:tcPr>
            <w:tcW w:type="dxa" w:w="7200"/>
            <w:tcMar>
              <w:top w:type="dxa" w:w="80"/>
              <w:left w:type="dxa" w:w="100"/>
              <w:bottom w:type="dxa" w:w="80"/>
              <w:right w:type="dxa" w:w="100"/>
            </w:tcMar>
            <w:vAlign w:val="top"/>
          </w:tcPr>
          <w:p>
            <w:pPr>
              <w:spacing w:after="60"/>
            </w:pPr>
            <w:r>
              <w:t xml:space="preserve">The amounts shown in Item 4 of the schedule.</w:t>
            </w:r>
          </w:p>
        </w:tc>
      </w:tr>
      <w:tr>
        <w:trPr>
          <w:cantSplit/>
        </w:trPr>
        <w:tc>
          <w:tcPr>
            <w:tcW w:type="dxa" w:w="2400"/>
            <w:tcMar>
              <w:top w:type="dxa" w:w="80"/>
              <w:left w:type="dxa" w:w="100"/>
              <w:bottom w:type="dxa" w:w="80"/>
              <w:right w:type="dxa" w:w="100"/>
            </w:tcMar>
            <w:vAlign w:val="top"/>
          </w:tcPr>
          <w:p>
            <w:r>
              <w:rPr>
                <w:b/>
                <w:bCs/>
              </w:rPr>
              <w:t xml:space="preserve">Loss</w:t>
            </w:r>
          </w:p>
        </w:tc>
        <w:tc>
          <w:tcPr>
            <w:tcW w:type="dxa" w:w="7200"/>
            <w:tcMar>
              <w:top w:type="dxa" w:w="80"/>
              <w:left w:type="dxa" w:w="100"/>
              <w:bottom w:type="dxa" w:w="80"/>
              <w:right w:type="dxa" w:w="100"/>
            </w:tcMar>
            <w:vAlign w:val="top"/>
          </w:tcPr>
          <w:p>
            <w:pPr>
              <w:spacing w:after="60"/>
            </w:pPr>
            <w:r>
              <w:t xml:space="preserve">For Sections 2 and 3: compensatory damages and defence costs that an insured becomes legally liable to pay. For insured persons, loss also includes insurable fines and penalties, to the extent insurable at law.</w:t>
            </w:r>
          </w:p>
          <w:p>
            <w:pPr>
              <w:spacing w:after="60"/>
            </w:pPr>
            <w:r>
              <w:t xml:space="preserve">For Section 4: the direct financial loss you or a fund sustains as a result of a dishonest act. Clause 4.10 (Payment to Funds) states how we pay a fund's direct financial loss.</w:t>
            </w:r>
          </w:p>
          <w:p>
            <w:pPr>
              <w:spacing w:after="60"/>
            </w:pPr>
            <w:r>
              <w:t xml:space="preserve">Loss does not include: taxes; the return of fees, commissions, or management charges to which you were not entitled (but see exclusion 5.9); the return of improperly gained profits; amounts uninsurable at law; or indirect or consequential loss (for Section 4).</w:t>
            </w:r>
          </w:p>
        </w:tc>
      </w:tr>
      <w:tr>
        <w:trPr>
          <w:cantSplit/>
        </w:trPr>
        <w:tc>
          <w:tcPr>
            <w:tcW w:type="dxa" w:w="2400"/>
            <w:tcMar>
              <w:top w:type="dxa" w:w="80"/>
              <w:left w:type="dxa" w:w="100"/>
              <w:bottom w:type="dxa" w:w="80"/>
              <w:right w:type="dxa" w:w="100"/>
            </w:tcMar>
            <w:vAlign w:val="top"/>
          </w:tcPr>
          <w:p>
            <w:r>
              <w:rPr>
                <w:b/>
                <w:bCs/>
              </w:rPr>
              <w:t xml:space="preserve">Named insured</w:t>
            </w:r>
          </w:p>
        </w:tc>
        <w:tc>
          <w:tcPr>
            <w:tcW w:type="dxa" w:w="7200"/>
            <w:tcMar>
              <w:top w:type="dxa" w:w="80"/>
              <w:left w:type="dxa" w:w="100"/>
              <w:bottom w:type="dxa" w:w="80"/>
              <w:right w:type="dxa" w:w="100"/>
            </w:tcMar>
            <w:vAlign w:val="top"/>
          </w:tcPr>
          <w:p>
            <w:pPr>
              <w:spacing w:after="60"/>
            </w:pPr>
            <w:r>
              <w:t xml:space="preserve">The entity shown in the schedule.</w:t>
            </w:r>
          </w:p>
        </w:tc>
      </w:tr>
      <w:tr>
        <w:trPr>
          <w:cantSplit/>
        </w:trPr>
        <w:tc>
          <w:tcPr>
            <w:tcW w:type="dxa" w:w="2400"/>
            <w:tcMar>
              <w:top w:type="dxa" w:w="80"/>
              <w:left w:type="dxa" w:w="100"/>
              <w:bottom w:type="dxa" w:w="80"/>
              <w:right w:type="dxa" w:w="100"/>
            </w:tcMar>
            <w:vAlign w:val="top"/>
          </w:tcPr>
          <w:p>
            <w:r>
              <w:rPr>
                <w:b/>
                <w:bCs/>
              </w:rPr>
              <w:t xml:space="preserve">Policy period</w:t>
            </w:r>
          </w:p>
        </w:tc>
        <w:tc>
          <w:tcPr>
            <w:tcW w:type="dxa" w:w="7200"/>
            <w:tcMar>
              <w:top w:type="dxa" w:w="80"/>
              <w:left w:type="dxa" w:w="100"/>
              <w:bottom w:type="dxa" w:w="80"/>
              <w:right w:type="dxa" w:w="100"/>
            </w:tcMar>
            <w:vAlign w:val="top"/>
          </w:tcPr>
          <w:p>
            <w:pPr>
              <w:spacing w:after="60"/>
            </w:pPr>
            <w:r>
              <w:t xml:space="preserve">The period shown in the schedule.</w:t>
            </w:r>
          </w:p>
        </w:tc>
      </w:tr>
      <w:tr>
        <w:trPr>
          <w:cantSplit/>
        </w:trPr>
        <w:tc>
          <w:tcPr>
            <w:tcW w:type="dxa" w:w="2400"/>
            <w:tcMar>
              <w:top w:type="dxa" w:w="80"/>
              <w:left w:type="dxa" w:w="100"/>
              <w:bottom w:type="dxa" w:w="80"/>
              <w:right w:type="dxa" w:w="100"/>
            </w:tcMar>
            <w:vAlign w:val="top"/>
          </w:tcPr>
          <w:p>
            <w:r>
              <w:rPr>
                <w:b/>
                <w:bCs/>
              </w:rPr>
              <w:t xml:space="preserve">Regulatory proceeding</w:t>
            </w:r>
          </w:p>
        </w:tc>
        <w:tc>
          <w:tcPr>
            <w:tcW w:type="dxa" w:w="7200"/>
            <w:tcMar>
              <w:top w:type="dxa" w:w="80"/>
              <w:left w:type="dxa" w:w="100"/>
              <w:bottom w:type="dxa" w:w="80"/>
              <w:right w:type="dxa" w:w="100"/>
            </w:tcMar>
            <w:vAlign w:val="top"/>
          </w:tcPr>
          <w:p>
            <w:pPr>
              <w:spacing w:after="60"/>
            </w:pPr>
            <w:r>
              <w:t xml:space="preserve">A formal investigation, examination, inquiry, enforcement action, infringement notice, or civil penalty proceeding brought by ASIC, APRA, the ACCC, the ATO, AUSTRAC, or any equivalent foreign regulator in connection with your financial services activities or the affairs of a fund.</w:t>
            </w:r>
          </w:p>
        </w:tc>
      </w:tr>
      <w:tr>
        <w:trPr>
          <w:cantSplit/>
        </w:trPr>
        <w:tc>
          <w:tcPr>
            <w:tcW w:type="dxa" w:w="2400"/>
            <w:tcMar>
              <w:top w:type="dxa" w:w="80"/>
              <w:left w:type="dxa" w:w="100"/>
              <w:bottom w:type="dxa" w:w="80"/>
              <w:right w:type="dxa" w:w="100"/>
            </w:tcMar>
            <w:vAlign w:val="top"/>
          </w:tcPr>
          <w:p>
            <w:r>
              <w:rPr>
                <w:b/>
                <w:bCs/>
              </w:rPr>
              <w:t xml:space="preserve">Responsible person</w:t>
            </w:r>
          </w:p>
        </w:tc>
        <w:tc>
          <w:tcPr>
            <w:tcW w:type="dxa" w:w="7200"/>
            <w:tcMar>
              <w:top w:type="dxa" w:w="80"/>
              <w:left w:type="dxa" w:w="100"/>
              <w:bottom w:type="dxa" w:w="80"/>
              <w:right w:type="dxa" w:w="100"/>
            </w:tcMar>
            <w:vAlign w:val="top"/>
          </w:tcPr>
          <w:p>
            <w:pPr>
              <w:spacing w:after="60"/>
            </w:pPr>
            <w:r>
              <w:t xml:space="preserve">Any director, officer, chief compliance officer, chief financial officer, or head of operations of the company.</w:t>
            </w:r>
          </w:p>
        </w:tc>
      </w:tr>
      <w:tr>
        <w:trPr>
          <w:cantSplit/>
        </w:trPr>
        <w:tc>
          <w:tcPr>
            <w:tcW w:type="dxa" w:w="2400"/>
            <w:tcMar>
              <w:top w:type="dxa" w:w="80"/>
              <w:left w:type="dxa" w:w="100"/>
              <w:bottom w:type="dxa" w:w="80"/>
              <w:right w:type="dxa" w:w="100"/>
            </w:tcMar>
            <w:vAlign w:val="top"/>
          </w:tcPr>
          <w:p>
            <w:r>
              <w:rPr>
                <w:b/>
                <w:bCs/>
              </w:rPr>
              <w:t xml:space="preserve">Retroactive date</w:t>
            </w:r>
          </w:p>
        </w:tc>
        <w:tc>
          <w:tcPr>
            <w:tcW w:type="dxa" w:w="7200"/>
            <w:tcMar>
              <w:top w:type="dxa" w:w="80"/>
              <w:left w:type="dxa" w:w="100"/>
              <w:bottom w:type="dxa" w:w="80"/>
              <w:right w:type="dxa" w:w="100"/>
            </w:tcMar>
            <w:vAlign w:val="top"/>
          </w:tcPr>
          <w:p>
            <w:pPr>
              <w:spacing w:after="60"/>
            </w:pPr>
            <w:r>
              <w:t xml:space="preserve">The date shown in Item 3 of the schedule. See Item 3 for the sections to which it applies.</w:t>
            </w:r>
          </w:p>
        </w:tc>
      </w:tr>
      <w:tr>
        <w:trPr>
          <w:cantSplit/>
        </w:trPr>
        <w:tc>
          <w:tcPr>
            <w:tcW w:type="dxa" w:w="2400"/>
            <w:tcMar>
              <w:top w:type="dxa" w:w="80"/>
              <w:left w:type="dxa" w:w="100"/>
              <w:bottom w:type="dxa" w:w="80"/>
              <w:right w:type="dxa" w:w="100"/>
            </w:tcMar>
            <w:vAlign w:val="top"/>
          </w:tcPr>
          <w:p>
            <w:r>
              <w:rPr>
                <w:b/>
                <w:bCs/>
              </w:rPr>
              <w:t xml:space="preserve">Schedule</w:t>
            </w:r>
          </w:p>
        </w:tc>
        <w:tc>
          <w:tcPr>
            <w:tcW w:type="dxa" w:w="7200"/>
            <w:tcMar>
              <w:top w:type="dxa" w:w="80"/>
              <w:left w:type="dxa" w:w="100"/>
              <w:bottom w:type="dxa" w:w="80"/>
              <w:right w:type="dxa" w:w="100"/>
            </w:tcMar>
            <w:vAlign w:val="top"/>
          </w:tcPr>
          <w:p>
            <w:pPr>
              <w:spacing w:after="60"/>
            </w:pPr>
            <w:r>
              <w:t xml:space="preserve">The document issued with this policy.</w:t>
            </w:r>
          </w:p>
        </w:tc>
      </w:tr>
      <w:tr>
        <w:trPr>
          <w:cantSplit/>
        </w:trPr>
        <w:tc>
          <w:tcPr>
            <w:tcW w:type="dxa" w:w="2400"/>
            <w:tcMar>
              <w:top w:type="dxa" w:w="80"/>
              <w:left w:type="dxa" w:w="100"/>
              <w:bottom w:type="dxa" w:w="80"/>
              <w:right w:type="dxa" w:w="100"/>
            </w:tcMar>
            <w:vAlign w:val="top"/>
          </w:tcPr>
          <w:p>
            <w:r>
              <w:rPr>
                <w:b/>
                <w:bCs/>
              </w:rPr>
              <w:t xml:space="preserve">Subsidiary</w:t>
            </w:r>
          </w:p>
        </w:tc>
        <w:tc>
          <w:tcPr>
            <w:tcW w:type="dxa" w:w="7200"/>
            <w:tcMar>
              <w:top w:type="dxa" w:w="80"/>
              <w:left w:type="dxa" w:w="100"/>
              <w:bottom w:type="dxa" w:w="80"/>
              <w:right w:type="dxa" w:w="100"/>
            </w:tcMar>
            <w:vAlign w:val="top"/>
          </w:tcPr>
          <w:p>
            <w:pPr>
              <w:spacing w:after="60"/>
            </w:pPr>
            <w:r>
              <w:t xml:space="preserve">Any entity in which the named insured holds more than 50% of voting rights or effective management control.</w:t>
            </w:r>
          </w:p>
        </w:tc>
      </w:tr>
      <w:tr>
        <w:trPr>
          <w:cantSplit/>
        </w:trPr>
        <w:tc>
          <w:tcPr>
            <w:tcW w:type="dxa" w:w="2400"/>
            <w:tcMar>
              <w:top w:type="dxa" w:w="80"/>
              <w:left w:type="dxa" w:w="100"/>
              <w:bottom w:type="dxa" w:w="80"/>
              <w:right w:type="dxa" w:w="100"/>
            </w:tcMar>
            <w:vAlign w:val="top"/>
          </w:tcPr>
          <w:p>
            <w:r>
              <w:rPr>
                <w:b/>
                <w:bCs/>
              </w:rPr>
              <w:t xml:space="preserve">Third-party service provider</w:t>
            </w:r>
          </w:p>
        </w:tc>
        <w:tc>
          <w:tcPr>
            <w:tcW w:type="dxa" w:w="7200"/>
            <w:tcMar>
              <w:top w:type="dxa" w:w="80"/>
              <w:left w:type="dxa" w:w="100"/>
              <w:bottom w:type="dxa" w:w="80"/>
              <w:right w:type="dxa" w:w="100"/>
            </w:tcMar>
            <w:vAlign w:val="top"/>
          </w:tcPr>
          <w:p>
            <w:pPr>
              <w:spacing w:after="60"/>
            </w:pPr>
            <w:r>
              <w:t xml:space="preserve">A custodian, administrator, prime broker, fund accountant, transfer agent, registry, or other service provider engaged by you or a fund under a written contract.</w:t>
            </w:r>
          </w:p>
        </w:tc>
      </w:tr>
      <w:tr>
        <w:trPr>
          <w:cantSplit/>
        </w:trPr>
        <w:tc>
          <w:tcPr>
            <w:tcW w:type="dxa" w:w="2400"/>
            <w:tcMar>
              <w:top w:type="dxa" w:w="80"/>
              <w:left w:type="dxa" w:w="100"/>
              <w:bottom w:type="dxa" w:w="80"/>
              <w:right w:type="dxa" w:w="100"/>
            </w:tcMar>
            <w:vAlign w:val="top"/>
          </w:tcPr>
          <w:p>
            <w:r>
              <w:rPr>
                <w:b/>
                <w:bCs/>
              </w:rPr>
              <w:t xml:space="preserve">Unauthorised access</w:t>
            </w:r>
          </w:p>
        </w:tc>
        <w:tc>
          <w:tcPr>
            <w:tcW w:type="dxa" w:w="7200"/>
            <w:tcMar>
              <w:top w:type="dxa" w:w="80"/>
              <w:left w:type="dxa" w:w="100"/>
              <w:bottom w:type="dxa" w:w="80"/>
              <w:right w:type="dxa" w:w="100"/>
            </w:tcMar>
            <w:vAlign w:val="top"/>
          </w:tcPr>
          <w:p>
            <w:pPr>
              <w:spacing w:after="60"/>
            </w:pPr>
            <w:r>
              <w:t xml:space="preserve">Access to a computer system or communication system without the actual or apparently authorised consent of the person entitled to control that access, including access obtained by a person who exceeds the scope of access actually granted to them.</w:t>
            </w:r>
          </w:p>
        </w:tc>
      </w:tr>
      <w:tr>
        <w:trPr>
          <w:cantSplit/>
        </w:trPr>
        <w:tc>
          <w:tcPr>
            <w:tcW w:type="dxa" w:w="2400"/>
            <w:tcMar>
              <w:top w:type="dxa" w:w="80"/>
              <w:left w:type="dxa" w:w="100"/>
              <w:bottom w:type="dxa" w:w="80"/>
              <w:right w:type="dxa" w:w="100"/>
            </w:tcMar>
            <w:vAlign w:val="top"/>
          </w:tcPr>
          <w:p>
            <w:r>
              <w:rPr>
                <w:b/>
                <w:bCs/>
              </w:rPr>
              <w:t xml:space="preserve">We / us / our</w:t>
            </w:r>
          </w:p>
        </w:tc>
        <w:tc>
          <w:tcPr>
            <w:tcW w:type="dxa" w:w="7200"/>
            <w:tcMar>
              <w:top w:type="dxa" w:w="80"/>
              <w:left w:type="dxa" w:w="100"/>
              <w:bottom w:type="dxa" w:w="80"/>
              <w:right w:type="dxa" w:w="100"/>
            </w:tcMar>
            <w:vAlign w:val="top"/>
          </w:tcPr>
          <w:p>
            <w:pPr>
              <w:spacing w:after="60"/>
            </w:pPr>
            <w:r>
              <w:t xml:space="preserve">The insurer named in the schedule.</w:t>
            </w:r>
          </w:p>
        </w:tc>
      </w:tr>
      <w:tr>
        <w:trPr>
          <w:cantSplit/>
        </w:trPr>
        <w:tc>
          <w:tcPr>
            <w:tcW w:type="dxa" w:w="2400"/>
            <w:tcMar>
              <w:top w:type="dxa" w:w="80"/>
              <w:left w:type="dxa" w:w="100"/>
              <w:bottom w:type="dxa" w:w="80"/>
              <w:right w:type="dxa" w:w="100"/>
            </w:tcMar>
            <w:vAlign w:val="top"/>
          </w:tcPr>
          <w:p>
            <w:r>
              <w:rPr>
                <w:b/>
                <w:bCs/>
              </w:rPr>
              <w:t xml:space="preserve">Wrongful act</w:t>
            </w:r>
          </w:p>
        </w:tc>
        <w:tc>
          <w:tcPr>
            <w:tcW w:type="dxa" w:w="7200"/>
            <w:tcMar>
              <w:top w:type="dxa" w:w="80"/>
              <w:left w:type="dxa" w:w="100"/>
              <w:bottom w:type="dxa" w:w="80"/>
              <w:right w:type="dxa" w:w="100"/>
            </w:tcMar>
            <w:vAlign w:val="top"/>
          </w:tcPr>
          <w:p>
            <w:pPr>
              <w:spacing w:after="60"/>
            </w:pPr>
            <w:r>
              <w:t xml:space="preserve">Any actual or alleged act, error, omission, misstatement, misleading statement, breach of duty (including fiduciary duty), breach of trust, breach of any statutory or regulatory obligation, or neglect, committed by an insured in connection with your financial services activities or in the management of the company.</w:t>
            </w:r>
          </w:p>
        </w:tc>
      </w:tr>
      <w:tr>
        <w:trPr>
          <w:cantSplit/>
        </w:trPr>
        <w:tc>
          <w:tcPr>
            <w:tcW w:type="dxa" w:w="2400"/>
            <w:tcMar>
              <w:top w:type="dxa" w:w="80"/>
              <w:left w:type="dxa" w:w="100"/>
              <w:bottom w:type="dxa" w:w="80"/>
              <w:right w:type="dxa" w:w="100"/>
            </w:tcMar>
            <w:vAlign w:val="top"/>
          </w:tcPr>
          <w:p>
            <w:r>
              <w:rPr>
                <w:b/>
                <w:bCs/>
              </w:rPr>
              <w:t xml:space="preserve">You / your</w:t>
            </w:r>
          </w:p>
        </w:tc>
        <w:tc>
          <w:tcPr>
            <w:tcW w:type="dxa" w:w="7200"/>
            <w:tcMar>
              <w:top w:type="dxa" w:w="80"/>
              <w:left w:type="dxa" w:w="100"/>
              <w:bottom w:type="dxa" w:w="80"/>
              <w:right w:type="dxa" w:w="100"/>
            </w:tcMar>
            <w:vAlign w:val="top"/>
          </w:tcPr>
          <w:p>
            <w:pPr>
              <w:spacing w:after="60"/>
            </w:pPr>
            <w:r>
              <w:t xml:space="preserve">The company and, where the context requires, any insured person.</w:t>
            </w:r>
          </w:p>
        </w:tc>
      </w:tr>
    </w:tbl>
    <w:p>
      <w:pPr>
        <w:pBdr>
          <w:bottom w:val="single" w:color="E2D9C8" w:sz="6" w:space="1"/>
        </w:pBdr>
        <w:spacing w:after="200" w:before="100"/>
      </w:pPr>
    </w:p>
    <w:p>
      <w:pPr>
        <w:pStyle w:val="Heading1"/>
        <w:spacing w:after="160" w:before="360"/>
      </w:pPr>
      <w:r>
        <w:t xml:space="preserve">2 Professional Liability</w:t>
      </w:r>
    </w:p>
    <w:p>
      <w:pPr>
        <w:pStyle w:val="Heading2"/>
        <w:spacing w:after="120" w:before="240"/>
      </w:pPr>
      <w:r>
        <w:t xml:space="preserve">What Is Covered</w:t>
      </w:r>
    </w:p>
    <w:p>
      <w:pPr>
        <w:spacing w:after="80" w:before="220"/>
      </w:pPr>
      <w:r>
        <w:rPr>
          <w:b/>
          <w:bCs/>
          <w:sz w:val="23"/>
          <w:szCs w:val="23"/>
        </w:rPr>
        <w:t xml:space="preserve">2.1 Financial Services Liability</w:t>
      </w:r>
    </w:p>
    <w:p>
      <w:pPr>
        <w:spacing w:after="120"/>
      </w:pPr>
      <w:r>
        <w:t xml:space="preserve">If a claim is first made against an insured during the policy period for a wrongful act in connection with financial services activities performed on or after the retroactive date, we will pay:</w:t>
      </w:r>
    </w:p>
    <w:p>
      <w:pPr>
        <w:spacing w:after="60"/>
        <w:ind w:left="431"/>
      </w:pPr>
      <w:r>
        <w:t xml:space="preserve">(a) any amount the insured becomes legally liable to pay as compensation (including the claimant's costs); and</w:t>
      </w:r>
    </w:p>
    <w:p>
      <w:pPr>
        <w:spacing w:after="60"/>
        <w:ind w:left="431"/>
      </w:pPr>
      <w:r>
        <w:t xml:space="preserve">(b) the insured's defence costs,</w:t>
      </w:r>
    </w:p>
    <w:p>
      <w:pPr>
        <w:spacing w:after="120"/>
      </w:pPr>
      <w:r>
        <w:t xml:space="preserve">for any actual or alleged:</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200"/>
        <w:gridCol w:w="8400"/>
      </w:tblGrid>
      <w:tr>
        <w:trPr>
          <w:cantSplit/>
          <w:tblHeader/>
        </w:trPr>
        <w:tc>
          <w:tcPr>
            <w:tcW w:type="dxa" w:w="1200"/>
            <w:shd w:fill="1B2A4A" w:val="clear"/>
            <w:tcMar>
              <w:top w:type="dxa" w:w="80"/>
              <w:left w:type="dxa" w:w="100"/>
              <w:bottom w:type="dxa" w:w="80"/>
              <w:right w:type="dxa" w:w="100"/>
            </w:tcMar>
          </w:tcPr>
          <w:p>
            <w:r>
              <w:rPr>
                <w:b/>
                <w:bCs/>
                <w:color w:val="4A453F"/>
              </w:rPr>
              <w:t xml:space="preserve">Type of liability</w:t>
            </w:r>
          </w:p>
        </w:tc>
        <w:tc>
          <w:tcPr>
            <w:tcW w:type="dxa" w:w="8400"/>
            <w:shd w:fill="1B2A4A" w:val="clear"/>
            <w:tcMar>
              <w:top w:type="dxa" w:w="80"/>
              <w:left w:type="dxa" w:w="100"/>
              <w:bottom w:type="dxa" w:w="80"/>
              <w:right w:type="dxa" w:w="100"/>
            </w:tcMar>
          </w:tcPr>
          <w:p>
            <w:r>
              <w:rPr>
                <w:b/>
                <w:bCs/>
                <w:color w:val="4A453F"/>
              </w:rPr>
              <w:t xml:space="preserve"/>
            </w:r>
          </w:p>
        </w:tc>
      </w:tr>
      <w:tr>
        <w:trPr>
          <w:cantSplit/>
        </w:trPr>
        <w:tc>
          <w:tcPr>
            <w:tcW w:type="dxa" w:w="1200"/>
            <w:tcMar>
              <w:top w:type="dxa" w:w="80"/>
              <w:left w:type="dxa" w:w="100"/>
              <w:bottom w:type="dxa" w:w="80"/>
              <w:right w:type="dxa" w:w="100"/>
            </w:tcMar>
            <w:vAlign w:val="top"/>
          </w:tcPr>
          <w:p>
            <w:pPr>
              <w:spacing w:after="60"/>
            </w:pPr>
            <w:r>
              <w:t xml:space="preserve">(i)</w:t>
            </w:r>
          </w:p>
        </w:tc>
        <w:tc>
          <w:tcPr>
            <w:tcW w:type="dxa" w:w="8400"/>
            <w:tcMar>
              <w:top w:type="dxa" w:w="80"/>
              <w:left w:type="dxa" w:w="100"/>
              <w:bottom w:type="dxa" w:w="80"/>
              <w:right w:type="dxa" w:w="100"/>
            </w:tcMar>
            <w:vAlign w:val="top"/>
          </w:tcPr>
          <w:p>
            <w:pPr>
              <w:spacing w:after="60"/>
            </w:pPr>
            <w:r>
              <w:t xml:space="preserve">negligence, breach of duty of care, or failure to exercise reasonable care and skill in providing financial services</w:t>
            </w:r>
          </w:p>
        </w:tc>
      </w:tr>
      <w:tr>
        <w:trPr>
          <w:cantSplit/>
        </w:trPr>
        <w:tc>
          <w:tcPr>
            <w:tcW w:type="dxa" w:w="1200"/>
            <w:tcMar>
              <w:top w:type="dxa" w:w="80"/>
              <w:left w:type="dxa" w:w="100"/>
              <w:bottom w:type="dxa" w:w="80"/>
              <w:right w:type="dxa" w:w="100"/>
            </w:tcMar>
            <w:vAlign w:val="top"/>
          </w:tcPr>
          <w:p>
            <w:pPr>
              <w:spacing w:after="60"/>
            </w:pPr>
            <w:r>
              <w:t xml:space="preserve">(ii)</w:t>
            </w:r>
          </w:p>
        </w:tc>
        <w:tc>
          <w:tcPr>
            <w:tcW w:type="dxa" w:w="8400"/>
            <w:tcMar>
              <w:top w:type="dxa" w:w="80"/>
              <w:left w:type="dxa" w:w="100"/>
              <w:bottom w:type="dxa" w:w="80"/>
              <w:right w:type="dxa" w:w="100"/>
            </w:tcMar>
            <w:vAlign w:val="top"/>
          </w:tcPr>
          <w:p>
            <w:pPr>
              <w:spacing w:after="60"/>
            </w:pPr>
            <w:r>
              <w:t xml:space="preserve">negligent misstatement, misrepresentation, or misleading advice about a financial product or investment</w:t>
            </w:r>
          </w:p>
        </w:tc>
      </w:tr>
      <w:tr>
        <w:trPr>
          <w:cantSplit/>
        </w:trPr>
        <w:tc>
          <w:tcPr>
            <w:tcW w:type="dxa" w:w="1200"/>
            <w:tcMar>
              <w:top w:type="dxa" w:w="80"/>
              <w:left w:type="dxa" w:w="100"/>
              <w:bottom w:type="dxa" w:w="80"/>
              <w:right w:type="dxa" w:w="100"/>
            </w:tcMar>
            <w:vAlign w:val="top"/>
          </w:tcPr>
          <w:p>
            <w:pPr>
              <w:spacing w:after="60"/>
            </w:pPr>
            <w:r>
              <w:t xml:space="preserve">(iii)</w:t>
            </w:r>
          </w:p>
        </w:tc>
        <w:tc>
          <w:tcPr>
            <w:tcW w:type="dxa" w:w="8400"/>
            <w:tcMar>
              <w:top w:type="dxa" w:w="80"/>
              <w:left w:type="dxa" w:w="100"/>
              <w:bottom w:type="dxa" w:w="80"/>
              <w:right w:type="dxa" w:w="100"/>
            </w:tcMar>
            <w:vAlign w:val="top"/>
          </w:tcPr>
          <w:p>
            <w:pPr>
              <w:spacing w:after="60"/>
            </w:pPr>
            <w:r>
              <w:t xml:space="preserve">breach of fiduciary duty or trustee duty (including the duty to act in the best interests of investors or members)</w:t>
            </w:r>
          </w:p>
        </w:tc>
      </w:tr>
      <w:tr>
        <w:trPr>
          <w:cantSplit/>
        </w:trPr>
        <w:tc>
          <w:tcPr>
            <w:tcW w:type="dxa" w:w="1200"/>
            <w:tcMar>
              <w:top w:type="dxa" w:w="80"/>
              <w:left w:type="dxa" w:w="100"/>
              <w:bottom w:type="dxa" w:w="80"/>
              <w:right w:type="dxa" w:w="100"/>
            </w:tcMar>
            <w:vAlign w:val="top"/>
          </w:tcPr>
          <w:p>
            <w:pPr>
              <w:spacing w:after="60"/>
            </w:pPr>
            <w:r>
              <w:t xml:space="preserve">(iv)</w:t>
            </w:r>
          </w:p>
        </w:tc>
        <w:tc>
          <w:tcPr>
            <w:tcW w:type="dxa" w:w="8400"/>
            <w:tcMar>
              <w:top w:type="dxa" w:w="80"/>
              <w:left w:type="dxa" w:w="100"/>
              <w:bottom w:type="dxa" w:w="80"/>
              <w:right w:type="dxa" w:w="100"/>
            </w:tcMar>
            <w:vAlign w:val="top"/>
          </w:tcPr>
          <w:p>
            <w:pPr>
              <w:spacing w:after="60"/>
            </w:pPr>
            <w:r>
              <w:t xml:space="preserve">breach of the Corporations Act 2001 (Cth), including AFSL obligations, the managed investments regime (Chapter 5C), design and distribution obligations (Part 7.8A), and the financial services conduct provisions</w:t>
            </w:r>
          </w:p>
        </w:tc>
      </w:tr>
      <w:tr>
        <w:trPr>
          <w:cantSplit/>
        </w:trPr>
        <w:tc>
          <w:tcPr>
            <w:tcW w:type="dxa" w:w="1200"/>
            <w:tcMar>
              <w:top w:type="dxa" w:w="80"/>
              <w:left w:type="dxa" w:w="100"/>
              <w:bottom w:type="dxa" w:w="80"/>
              <w:right w:type="dxa" w:w="100"/>
            </w:tcMar>
            <w:vAlign w:val="top"/>
          </w:tcPr>
          <w:p>
            <w:pPr>
              <w:spacing w:after="60"/>
            </w:pPr>
            <w:r>
              <w:t xml:space="preserve">(v)</w:t>
            </w:r>
          </w:p>
        </w:tc>
        <w:tc>
          <w:tcPr>
            <w:tcW w:type="dxa" w:w="8400"/>
            <w:tcMar>
              <w:top w:type="dxa" w:w="80"/>
              <w:left w:type="dxa" w:w="100"/>
              <w:bottom w:type="dxa" w:w="80"/>
              <w:right w:type="dxa" w:w="100"/>
            </w:tcMar>
            <w:vAlign w:val="top"/>
          </w:tcPr>
          <w:p>
            <w:pPr>
              <w:spacing w:after="60"/>
            </w:pPr>
            <w:r>
              <w:t xml:space="preserve">breach of the ASIC Act 2001 (Cth), including misleading or deceptive conduct (s 12DA) and unconscionable conduct (s 12CA–12CC)</w:t>
            </w:r>
          </w:p>
        </w:tc>
      </w:tr>
      <w:tr>
        <w:trPr>
          <w:cantSplit/>
        </w:trPr>
        <w:tc>
          <w:tcPr>
            <w:tcW w:type="dxa" w:w="1200"/>
            <w:tcMar>
              <w:top w:type="dxa" w:w="80"/>
              <w:left w:type="dxa" w:w="100"/>
              <w:bottom w:type="dxa" w:w="80"/>
              <w:right w:type="dxa" w:w="100"/>
            </w:tcMar>
            <w:vAlign w:val="top"/>
          </w:tcPr>
          <w:p>
            <w:pPr>
              <w:spacing w:after="60"/>
            </w:pPr>
            <w:r>
              <w:t xml:space="preserve">(vi)</w:t>
            </w:r>
          </w:p>
        </w:tc>
        <w:tc>
          <w:tcPr>
            <w:tcW w:type="dxa" w:w="8400"/>
            <w:tcMar>
              <w:top w:type="dxa" w:w="80"/>
              <w:left w:type="dxa" w:w="100"/>
              <w:bottom w:type="dxa" w:w="80"/>
              <w:right w:type="dxa" w:w="100"/>
            </w:tcMar>
            <w:vAlign w:val="top"/>
          </w:tcPr>
          <w:p>
            <w:pPr>
              <w:spacing w:after="60"/>
            </w:pPr>
            <w:r>
              <w:t xml:space="preserve">breach of the Australian Consumer Law in connection with financial services</w:t>
            </w:r>
          </w:p>
        </w:tc>
      </w:tr>
      <w:tr>
        <w:trPr>
          <w:cantSplit/>
        </w:trPr>
        <w:tc>
          <w:tcPr>
            <w:tcW w:type="dxa" w:w="1200"/>
            <w:tcMar>
              <w:top w:type="dxa" w:w="80"/>
              <w:left w:type="dxa" w:w="100"/>
              <w:bottom w:type="dxa" w:w="80"/>
              <w:right w:type="dxa" w:w="100"/>
            </w:tcMar>
            <w:vAlign w:val="top"/>
          </w:tcPr>
          <w:p>
            <w:pPr>
              <w:spacing w:after="60"/>
            </w:pPr>
            <w:r>
              <w:t xml:space="preserve">(vii)</w:t>
            </w:r>
          </w:p>
        </w:tc>
        <w:tc>
          <w:tcPr>
            <w:tcW w:type="dxa" w:w="8400"/>
            <w:tcMar>
              <w:top w:type="dxa" w:w="80"/>
              <w:left w:type="dxa" w:w="100"/>
              <w:bottom w:type="dxa" w:w="80"/>
              <w:right w:type="dxa" w:w="100"/>
            </w:tcMar>
            <w:vAlign w:val="top"/>
          </w:tcPr>
          <w:p>
            <w:pPr>
              <w:spacing w:after="60"/>
            </w:pPr>
            <w:r>
              <w:t xml:space="preserve">breach of the Superannuation Industry (Supervision) Act 1993 (Cth), including the best financial interests duty, the sole purpose test, and prudential standards (where you are a superannuation trustee)</w:t>
            </w:r>
          </w:p>
        </w:tc>
      </w:tr>
      <w:tr>
        <w:trPr>
          <w:cantSplit/>
        </w:trPr>
        <w:tc>
          <w:tcPr>
            <w:tcW w:type="dxa" w:w="1200"/>
            <w:tcMar>
              <w:top w:type="dxa" w:w="80"/>
              <w:left w:type="dxa" w:w="100"/>
              <w:bottom w:type="dxa" w:w="80"/>
              <w:right w:type="dxa" w:w="100"/>
            </w:tcMar>
            <w:vAlign w:val="top"/>
          </w:tcPr>
          <w:p>
            <w:pPr>
              <w:spacing w:after="60"/>
            </w:pPr>
            <w:r>
              <w:t xml:space="preserve">(viii)</w:t>
            </w:r>
          </w:p>
        </w:tc>
        <w:tc>
          <w:tcPr>
            <w:tcW w:type="dxa" w:w="8400"/>
            <w:tcMar>
              <w:top w:type="dxa" w:w="80"/>
              <w:left w:type="dxa" w:w="100"/>
              <w:bottom w:type="dxa" w:w="80"/>
              <w:right w:type="dxa" w:w="100"/>
            </w:tcMar>
            <w:vAlign w:val="top"/>
          </w:tcPr>
          <w:p>
            <w:pPr>
              <w:spacing w:after="60"/>
            </w:pPr>
            <w:r>
              <w:t xml:space="preserve">breach of the Financial Accountability Regime Act 2023 (Cth) (FAR), including accountability obligations of accountable persons</w:t>
            </w:r>
          </w:p>
        </w:tc>
      </w:tr>
      <w:tr>
        <w:trPr>
          <w:cantSplit/>
        </w:trPr>
        <w:tc>
          <w:tcPr>
            <w:tcW w:type="dxa" w:w="1200"/>
            <w:tcMar>
              <w:top w:type="dxa" w:w="80"/>
              <w:left w:type="dxa" w:w="100"/>
              <w:bottom w:type="dxa" w:w="80"/>
              <w:right w:type="dxa" w:w="100"/>
            </w:tcMar>
            <w:vAlign w:val="top"/>
          </w:tcPr>
          <w:p>
            <w:pPr>
              <w:spacing w:after="60"/>
            </w:pPr>
            <w:r>
              <w:t xml:space="preserve">(ix)</w:t>
            </w:r>
          </w:p>
        </w:tc>
        <w:tc>
          <w:tcPr>
            <w:tcW w:type="dxa" w:w="8400"/>
            <w:tcMar>
              <w:top w:type="dxa" w:w="80"/>
              <w:left w:type="dxa" w:w="100"/>
              <w:bottom w:type="dxa" w:w="80"/>
              <w:right w:type="dxa" w:w="100"/>
            </w:tcMar>
            <w:vAlign w:val="top"/>
          </w:tcPr>
          <w:p>
            <w:pPr>
              <w:spacing w:after="60"/>
            </w:pPr>
            <w:r>
              <w:t xml:space="preserve">failure to comply with anti-money laundering and counter-terrorism financing obligations under the AML/CTF Act 2006 (Cth), to the extent the failure arises from your financial services activities</w:t>
            </w:r>
          </w:p>
        </w:tc>
      </w:tr>
      <w:tr>
        <w:trPr>
          <w:cantSplit/>
        </w:trPr>
        <w:tc>
          <w:tcPr>
            <w:tcW w:type="dxa" w:w="1200"/>
            <w:tcMar>
              <w:top w:type="dxa" w:w="80"/>
              <w:left w:type="dxa" w:w="100"/>
              <w:bottom w:type="dxa" w:w="80"/>
              <w:right w:type="dxa" w:w="100"/>
            </w:tcMar>
            <w:vAlign w:val="top"/>
          </w:tcPr>
          <w:p>
            <w:pPr>
              <w:spacing w:after="60"/>
            </w:pPr>
            <w:r>
              <w:t xml:space="preserve">(x)</w:t>
            </w:r>
          </w:p>
        </w:tc>
        <w:tc>
          <w:tcPr>
            <w:tcW w:type="dxa" w:w="8400"/>
            <w:tcMar>
              <w:top w:type="dxa" w:w="80"/>
              <w:left w:type="dxa" w:w="100"/>
              <w:bottom w:type="dxa" w:w="80"/>
              <w:right w:type="dxa" w:w="100"/>
            </w:tcMar>
            <w:vAlign w:val="top"/>
          </w:tcPr>
          <w:p>
            <w:pPr>
              <w:spacing w:after="60"/>
            </w:pPr>
            <w:r>
              <w:t xml:space="preserve">breach of confidence, misuse of confidential information, or breach of privacy in connection with your financial services activities</w:t>
            </w:r>
          </w:p>
        </w:tc>
      </w:tr>
      <w:tr>
        <w:trPr>
          <w:cantSplit/>
        </w:trPr>
        <w:tc>
          <w:tcPr>
            <w:tcW w:type="dxa" w:w="1200"/>
            <w:tcMar>
              <w:top w:type="dxa" w:w="80"/>
              <w:left w:type="dxa" w:w="100"/>
              <w:bottom w:type="dxa" w:w="80"/>
              <w:right w:type="dxa" w:w="100"/>
            </w:tcMar>
            <w:vAlign w:val="top"/>
          </w:tcPr>
          <w:p>
            <w:pPr>
              <w:spacing w:after="60"/>
            </w:pPr>
            <w:r>
              <w:t xml:space="preserve">(xi)</w:t>
            </w:r>
          </w:p>
        </w:tc>
        <w:tc>
          <w:tcPr>
            <w:tcW w:type="dxa" w:w="8400"/>
            <w:tcMar>
              <w:top w:type="dxa" w:w="80"/>
              <w:left w:type="dxa" w:w="100"/>
              <w:bottom w:type="dxa" w:w="80"/>
              <w:right w:type="dxa" w:w="100"/>
            </w:tcMar>
            <w:vAlign w:val="top"/>
          </w:tcPr>
          <w:p>
            <w:pPr>
              <w:spacing w:after="60"/>
            </w:pPr>
            <w:r>
              <w:t xml:space="preserve">defamation arising from your research reports, investor communications, or marketing materials</w:t>
            </w:r>
          </w:p>
        </w:tc>
      </w:tr>
      <w:tr>
        <w:trPr>
          <w:cantSplit/>
        </w:trPr>
        <w:tc>
          <w:tcPr>
            <w:tcW w:type="dxa" w:w="1200"/>
            <w:tcMar>
              <w:top w:type="dxa" w:w="80"/>
              <w:left w:type="dxa" w:w="100"/>
              <w:bottom w:type="dxa" w:w="80"/>
              <w:right w:type="dxa" w:w="100"/>
            </w:tcMar>
            <w:vAlign w:val="top"/>
          </w:tcPr>
          <w:p>
            <w:pPr>
              <w:spacing w:after="60"/>
            </w:pPr>
            <w:r>
              <w:t xml:space="preserve">(xii)</w:t>
            </w:r>
          </w:p>
        </w:tc>
        <w:tc>
          <w:tcPr>
            <w:tcW w:type="dxa" w:w="8400"/>
            <w:tcMar>
              <w:top w:type="dxa" w:w="80"/>
              <w:left w:type="dxa" w:w="100"/>
              <w:bottom w:type="dxa" w:w="80"/>
              <w:right w:type="dxa" w:w="100"/>
            </w:tcMar>
            <w:vAlign w:val="top"/>
          </w:tcPr>
          <w:p>
            <w:pPr>
              <w:spacing w:after="60"/>
            </w:pPr>
            <w:r>
              <w:t xml:space="preserve">infringement of intellectual property (copyright, trademark) in your publications or marketing</w:t>
            </w:r>
          </w:p>
        </w:tc>
      </w:tr>
      <w:tr>
        <w:trPr>
          <w:cantSplit/>
        </w:trPr>
        <w:tc>
          <w:tcPr>
            <w:tcW w:type="dxa" w:w="1200"/>
            <w:tcMar>
              <w:top w:type="dxa" w:w="80"/>
              <w:left w:type="dxa" w:w="100"/>
              <w:bottom w:type="dxa" w:w="80"/>
              <w:right w:type="dxa" w:w="100"/>
            </w:tcMar>
            <w:vAlign w:val="top"/>
          </w:tcPr>
          <w:p>
            <w:pPr>
              <w:spacing w:after="60"/>
            </w:pPr>
            <w:r>
              <w:t xml:space="preserve">(xiii)</w:t>
            </w:r>
          </w:p>
        </w:tc>
        <w:tc>
          <w:tcPr>
            <w:tcW w:type="dxa" w:w="8400"/>
            <w:tcMar>
              <w:top w:type="dxa" w:w="80"/>
              <w:left w:type="dxa" w:w="100"/>
              <w:bottom w:type="dxa" w:w="80"/>
              <w:right w:type="dxa" w:w="100"/>
            </w:tcMar>
            <w:vAlign w:val="top"/>
          </w:tcPr>
          <w:p>
            <w:pPr>
              <w:spacing w:after="60"/>
            </w:pPr>
            <w:r>
              <w:t xml:space="preserve">any other civil liability arising from your financial services activities</w:t>
            </w:r>
          </w:p>
        </w:tc>
      </w:tr>
    </w:tbl>
    <w:p>
      <w:pPr>
        <w:spacing w:after="80"/>
      </w:pPr>
    </w:p>
    <w:p>
      <w:pPr>
        <w:spacing w:after="80" w:before="220"/>
      </w:pPr>
      <w:r>
        <w:rPr>
          <w:b/>
          <w:bCs/>
          <w:sz w:val="23"/>
          <w:szCs w:val="23"/>
        </w:rPr>
        <w:t xml:space="preserve">2.2 Defence of Regulatory Proceedings</w:t>
      </w:r>
    </w:p>
    <w:p>
      <w:pPr>
        <w:spacing w:after="120"/>
      </w:pPr>
      <w:r>
        <w:t xml:space="preserve">We will pay the insured's defence costs in responding to any regulatory proceeding, even before a claim has been made.</w:t>
      </w:r>
    </w:p>
    <w:p>
      <w:pPr>
        <w:spacing w:after="80" w:before="220"/>
      </w:pPr>
      <w:r>
        <w:rPr>
          <w:b/>
          <w:bCs/>
          <w:sz w:val="23"/>
          <w:szCs w:val="23"/>
        </w:rPr>
        <w:t xml:space="preserve">2.3 AFCA Complaints</w:t>
      </w:r>
    </w:p>
    <w:p>
      <w:pPr>
        <w:spacing w:after="120"/>
      </w:pPr>
      <w:r>
        <w:t xml:space="preserve">We will pay the insured's defence costs in responding to complaints lodged with the Australian Financial Complaints Authority (AFCA) in connection with financial services activities. We will also pay any determination, award, or settlement made through the AFCA process.</w:t>
      </w:r>
    </w:p>
    <w:p>
      <w:pPr>
        <w:spacing w:after="80" w:before="220"/>
      </w:pPr>
      <w:r>
        <w:rPr>
          <w:b/>
          <w:bCs/>
          <w:sz w:val="23"/>
          <w:szCs w:val="23"/>
        </w:rPr>
        <w:t xml:space="preserve">2.4 Notification of Circumstances</w:t>
      </w:r>
    </w:p>
    <w:p>
      <w:pPr>
        <w:spacing w:after="120"/>
      </w:pPr>
      <w:r>
        <w:t xml:space="preserve">If during the policy period an insured becomes aware of any fact, matter, or circumstance that might reasonably be expected to give rise to a claim, and you notify us in writing during the policy period, any later claim arising from those circumstances will be treated as first made during this policy period. This clause implements s 40(3) of the Insurance Contracts Act 1984 (Cth) — see clause 7.2 for the corresponding obligation.</w:t>
      </w:r>
    </w:p>
    <w:p>
      <w:pPr>
        <w:pStyle w:val="Heading2"/>
        <w:spacing w:after="120" w:before="240"/>
      </w:pPr>
      <w:r>
        <w:t xml:space="preserve">Extensions — Section 2</w:t>
      </w:r>
    </w:p>
    <w:p>
      <w:pPr>
        <w:spacing w:after="80" w:before="220"/>
      </w:pPr>
      <w:r>
        <w:rPr>
          <w:b/>
          <w:bCs/>
          <w:sz w:val="23"/>
          <w:szCs w:val="23"/>
        </w:rPr>
        <w:t xml:space="preserve">2.5 Loss of Documents</w:t>
      </w:r>
    </w:p>
    <w:p>
      <w:pPr>
        <w:spacing w:after="120"/>
      </w:pPr>
      <w:r>
        <w:t xml:space="preserve">Reasonable costs to restore or replace tangible or electronic documents necessary for your financial services activities, lost, damaged, or destroyed while in your possession.</w:t>
      </w:r>
    </w:p>
    <w:p>
      <w:pPr>
        <w:spacing w:after="80" w:before="220"/>
      </w:pPr>
      <w:r>
        <w:rPr>
          <w:b/>
          <w:bCs/>
          <w:sz w:val="23"/>
          <w:szCs w:val="23"/>
        </w:rPr>
        <w:t xml:space="preserve">2.6 Fund Assets — Third-Party Service Provider Failure</w:t>
      </w:r>
    </w:p>
    <w:p>
      <w:pPr>
        <w:spacing w:after="120"/>
      </w:pPr>
      <w:r>
        <w:t xml:space="preserve">If a third-party service provider (such as a custodian, administrator, or prime broker) fails to perform its obligations under its contract with you or a fund, and a claim is made against you as a result, we will cover you as if you had performed the activity yourself — provided you exercised reasonable care in selecting, appointing, and monitoring the third-party service provider.</w:t>
      </w:r>
    </w:p>
    <w:p>
      <w:pPr>
        <w:spacing w:after="120"/>
      </w:pPr>
      <w:r>
        <w:t xml:space="preserve">This extension does not cover the insolvency of a </w:t>
      </w:r>
      <w:r>
        <w:rPr>
          <w:b/>
          <w:bCs/>
        </w:rPr>
        <w:t xml:space="preserve">third-party service provider</w:t>
      </w:r>
      <w:r>
        <w:t xml:space="preserve"> or the loss of </w:t>
      </w:r>
      <w:r>
        <w:rPr>
          <w:b/>
          <w:bCs/>
        </w:rPr>
        <w:t xml:space="preserve">fund assets</w:t>
      </w:r>
      <w:r>
        <w:t xml:space="preserve"> held by a custodian — unless the loss results from the custodian's fraud or dishonesty (which may be covered under Section 4).</w:t>
      </w:r>
    </w:p>
    <w:p>
      <w:pPr>
        <w:spacing w:after="80" w:before="220"/>
      </w:pPr>
      <w:r>
        <w:rPr>
          <w:b/>
          <w:bCs/>
          <w:sz w:val="23"/>
          <w:szCs w:val="23"/>
        </w:rPr>
        <w:t xml:space="preserve">2.7 Mitigation Costs</w:t>
      </w:r>
    </w:p>
    <w:p>
      <w:pPr>
        <w:spacing w:after="120"/>
      </w:pPr>
      <w:r>
        <w:t xml:space="preserve">Reasonable costs incurred with our prior consent to prevent or reduce a loss that would otherwise be covered.</w:t>
      </w:r>
    </w:p>
    <w:p>
      <w:pPr>
        <w:spacing w:after="80" w:before="220"/>
      </w:pPr>
      <w:r>
        <w:rPr>
          <w:b/>
          <w:bCs/>
          <w:sz w:val="23"/>
          <w:szCs w:val="23"/>
        </w:rPr>
        <w:t xml:space="preserve">2.8 Continuous Cover</w:t>
      </w:r>
    </w:p>
    <w:p>
      <w:pPr>
        <w:spacing w:after="120"/>
      </w:pPr>
      <w:r>
        <w:t xml:space="preserve">If a claim arises from a wrongful act that should have been notified under a previous policy and was not known, and continuous cover has been maintained, we will cover the claim under this policy's terms and limits — see clause 8.3 for how this is capped.</w:t>
      </w:r>
    </w:p>
    <w:p>
      <w:pPr>
        <w:spacing w:after="80" w:before="220"/>
      </w:pPr>
      <w:r>
        <w:rPr>
          <w:b/>
          <w:bCs/>
          <w:sz w:val="23"/>
          <w:szCs w:val="23"/>
        </w:rPr>
        <w:t xml:space="preserve">2.9 Public Relations</w:t>
      </w:r>
    </w:p>
    <w:p>
      <w:pPr>
        <w:spacing w:after="120"/>
      </w:pPr>
      <w:r>
        <w:t xml:space="preserve">Reasonable costs of a public relations consultant following a covered claim or regulatory proceeding.</w:t>
      </w:r>
    </w:p>
    <w:p>
      <w:pPr>
        <w:spacing w:after="80" w:before="220"/>
      </w:pPr>
      <w:r>
        <w:rPr>
          <w:b/>
          <w:bCs/>
          <w:sz w:val="23"/>
          <w:szCs w:val="23"/>
        </w:rPr>
        <w:t xml:space="preserve">2.10 Court Attendance</w:t>
      </w:r>
    </w:p>
    <w:p>
      <w:pPr>
        <w:spacing w:after="120"/>
      </w:pPr>
      <w:r>
        <w:t xml:space="preserve">$500 per day for an insured person or employee attending court, a tribunal, or an AFCA hearing as a witness in connection with a covered claim, subject to a maximum of $10,000 in total for any one claim.</w:t>
      </w:r>
    </w:p>
    <w:p>
      <w:pPr>
        <w:spacing w:after="80" w:before="220"/>
      </w:pPr>
      <w:r>
        <w:rPr>
          <w:b/>
          <w:bCs/>
          <w:sz w:val="23"/>
          <w:szCs w:val="23"/>
        </w:rPr>
        <w:t xml:space="preserve">2.11 Joint Venture and Sub-Advised Funds</w:t>
      </w:r>
    </w:p>
    <w:p>
      <w:pPr>
        <w:spacing w:after="120"/>
      </w:pPr>
      <w:r>
        <w:t xml:space="preserve">If you provide investment management or sub-advisory services to a fund managed by another entity under a sub-advisory or joint venture arrangement, we will cover claims arising from your services under that arrangement as if the fund were your own fund. “Joint venture” means an incorporated or unincorporated arrangement between you and another entity to jointly provide investment management or sub-advisory services, and covers claims arising in connection with the scope of that arrangement.</w:t>
      </w:r>
    </w:p>
    <w:p>
      <w:pPr>
        <w:spacing w:after="80" w:before="220"/>
      </w:pPr>
      <w:r>
        <w:rPr>
          <w:b/>
          <w:bCs/>
          <w:sz w:val="23"/>
          <w:szCs w:val="23"/>
        </w:rPr>
        <w:t xml:space="preserve">2.12 Compliance Costs</w:t>
      </w:r>
    </w:p>
    <w:p>
      <w:pPr>
        <w:spacing w:after="120"/>
      </w:pPr>
      <w:r>
        <w:t xml:space="preserve">We will pay compliance costs incurred by you in responding to a covered ASIC or APRA audit, review, or inquiry. </w:t>
      </w:r>
      <w:r>
        <w:rPr>
          <w:b/>
          <w:bCs/>
          <w:i/>
          <w:iCs/>
          <w:color w:val="1C1915"/>
        </w:rPr>
        <w:t xml:space="preserve"/>
      </w:r>
    </w:p>
    <w:p>
      <w:pPr>
        <w:pBdr>
          <w:bottom w:val="single" w:color="E2D9C8" w:sz="6" w:space="1"/>
        </w:pBdr>
        <w:spacing w:after="200" w:before="100"/>
      </w:pPr>
    </w:p>
    <w:p>
      <w:pPr>
        <w:pStyle w:val="Heading1"/>
        <w:spacing w:after="160" w:before="360"/>
      </w:pPr>
      <w:r>
        <w:t xml:space="preserve">3 Directors' and Officers' Liability</w:t>
      </w:r>
    </w:p>
    <w:p>
      <w:pPr>
        <w:pStyle w:val="Heading2"/>
        <w:spacing w:after="120" w:before="240"/>
      </w:pPr>
      <w:r>
        <w:t xml:space="preserve">What Is Covered</w:t>
      </w:r>
    </w:p>
    <w:p>
      <w:pPr>
        <w:spacing w:after="80" w:before="220"/>
      </w:pPr>
      <w:r>
        <w:rPr>
          <w:b/>
          <w:bCs/>
          <w:sz w:val="23"/>
          <w:szCs w:val="23"/>
        </w:rPr>
        <w:t xml:space="preserve">3.1 Personal Liability — Non-Indemnifiable Loss (Side A)</w:t>
      </w:r>
    </w:p>
    <w:p>
      <w:pPr>
        <w:spacing w:after="120"/>
      </w:pPr>
      <w:r>
        <w:t xml:space="preserve">If a claim is first made against an insured person during the policy period for a wrongful act in their capacity as a director or officer of the company, committed on or after the retroactive date, and the loss is non-indemnifiable (because the company is legally prohibited, financially unable, or refuses to indemnify), we will pay the insured person directly.</w:t>
      </w:r>
    </w:p>
    <w:p>
      <w:pPr>
        <w:spacing w:after="120"/>
      </w:pPr>
      <w:r>
        <w:t xml:space="preserve">No excess applies to Side A. </w:t>
      </w:r>
      <w:r>
        <w:rPr>
          <w:b/>
          <w:bCs/>
          <w:i/>
          <w:iCs/>
          <w:color w:val="1C1915"/>
        </w:rPr>
        <w:t xml:space="preserve"/>
      </w:r>
    </w:p>
    <w:p>
      <w:pPr>
        <w:spacing w:after="80" w:before="220"/>
      </w:pPr>
      <w:r>
        <w:rPr>
          <w:b/>
          <w:bCs/>
          <w:sz w:val="23"/>
          <w:szCs w:val="23"/>
        </w:rPr>
        <w:t xml:space="preserve">3.2 Company Reimbursement (Side B)</w:t>
      </w:r>
    </w:p>
    <w:p>
      <w:pPr>
        <w:spacing w:after="120"/>
      </w:pPr>
      <w:r>
        <w:t xml:space="preserve">If the company has indemnified an insured person for indemnifiable loss, we will reimburse the company.</w:t>
      </w:r>
    </w:p>
    <w:p>
      <w:pPr>
        <w:spacing w:after="120"/>
      </w:pPr>
      <w:r>
        <w:t xml:space="preserve">The Side B </w:t>
      </w:r>
      <w:r>
        <w:rPr>
          <w:b/>
          <w:bCs/>
        </w:rPr>
        <w:t xml:space="preserve">excess</w:t>
      </w:r>
      <w:r>
        <w:t xml:space="preserve"> shown in the schedule applies.</w:t>
      </w:r>
    </w:p>
    <w:p>
      <w:pPr>
        <w:pStyle w:val="Heading2"/>
        <w:spacing w:after="120" w:before="240"/>
      </w:pPr>
      <w:r>
        <w:t xml:space="preserve">Extensions — Section 3</w:t>
      </w:r>
    </w:p>
    <w:p>
      <w:pPr>
        <w:spacing w:after="80" w:before="220"/>
      </w:pPr>
      <w:r>
        <w:rPr>
          <w:b/>
          <w:bCs/>
          <w:sz w:val="23"/>
          <w:szCs w:val="23"/>
        </w:rPr>
        <w:t xml:space="preserve">3.3 Retired Directors and Officers</w:t>
      </w:r>
    </w:p>
    <w:p>
      <w:pPr>
        <w:spacing w:after="120"/>
      </w:pPr>
      <w:r>
        <w:t xml:space="preserve">Cover continues for claims against retired insured persons for 72 months after the end of the policy period, at no additional premium.</w:t>
      </w:r>
    </w:p>
    <w:p>
      <w:pPr>
        <w:spacing w:after="80" w:before="220"/>
      </w:pPr>
      <w:r>
        <w:rPr>
          <w:b/>
          <w:bCs/>
          <w:sz w:val="23"/>
          <w:szCs w:val="23"/>
        </w:rPr>
        <w:t xml:space="preserve">3.4 Spouse, Estate, and Legal Representative</w:t>
      </w:r>
    </w:p>
    <w:p>
      <w:pPr>
        <w:spacing w:after="120"/>
      </w:pPr>
      <w:r>
        <w:t xml:space="preserve">Covered for claims arising from the insured person's wrongful acts, including jointly held assets at risk.</w:t>
      </w:r>
    </w:p>
    <w:p>
      <w:pPr>
        <w:spacing w:after="80" w:before="220"/>
      </w:pPr>
      <w:r>
        <w:rPr>
          <w:b/>
          <w:bCs/>
          <w:sz w:val="23"/>
          <w:szCs w:val="23"/>
        </w:rPr>
        <w:t xml:space="preserve">3.5 ASIC and APRA Investigation Costs</w:t>
      </w:r>
    </w:p>
    <w:p>
      <w:pPr>
        <w:spacing w:after="120"/>
      </w:pPr>
      <w:r>
        <w:t xml:space="preserve">Defence costs for formal ASIC and APRA investigations into the conduct of an insured person, even before a claim is made.</w:t>
      </w:r>
    </w:p>
    <w:p>
      <w:pPr>
        <w:spacing w:after="80" w:before="220"/>
      </w:pPr>
      <w:r>
        <w:rPr>
          <w:b/>
          <w:bCs/>
          <w:sz w:val="23"/>
          <w:szCs w:val="23"/>
        </w:rPr>
        <w:t xml:space="preserve">3.6 FAR Proceeding Costs</w:t>
      </w:r>
    </w:p>
    <w:p>
      <w:pPr>
        <w:spacing w:after="120"/>
      </w:pPr>
      <w:r>
        <w:t xml:space="preserve">Defence costs for proceedings under the Financial Accountability Regime Act 2023 (Cth) against an insured person as an accountable person.</w:t>
      </w:r>
    </w:p>
    <w:p>
      <w:pPr>
        <w:spacing w:after="120"/>
      </w:pPr>
      <w:r>
        <w:t xml:space="preserve">If the proceeding results in the forfeiture or clawback of the insured person's deferred remuneration, we will pay the forfeited amount — provided no final adjudication of dishonesty.</w:t>
      </w:r>
    </w:p>
    <w:p>
      <w:pPr>
        <w:spacing w:after="80" w:before="220"/>
      </w:pPr>
      <w:r>
        <w:rPr>
          <w:b/>
          <w:bCs/>
          <w:sz w:val="23"/>
          <w:szCs w:val="23"/>
        </w:rPr>
        <w:t xml:space="preserve">3.7 Preservation of Assets and Living Expenses</w:t>
      </w:r>
    </w:p>
    <w:p>
      <w:pPr>
        <w:spacing w:after="120"/>
      </w:pPr>
      <w:r>
        <w:t xml:space="preserve">Legal costs to vary or discharge a freezing order; reasonable living expenses during asset restraint.</w:t>
      </w:r>
    </w:p>
    <w:p>
      <w:pPr>
        <w:spacing w:after="80" w:before="220"/>
      </w:pPr>
      <w:r>
        <w:rPr>
          <w:b/>
          <w:bCs/>
          <w:sz w:val="23"/>
          <w:szCs w:val="23"/>
        </w:rPr>
        <w:t xml:space="preserve">3.8 Bail and Civil Bond</w:t>
      </w:r>
    </w:p>
    <w:p>
      <w:pPr>
        <w:spacing w:after="120"/>
      </w:pPr>
      <w:r>
        <w:t xml:space="preserve">Reasonable costs of a bail bond or civil bond required to secure an insured person's release or to avoid a freezing order, in connection with a covered claim.</w:t>
      </w:r>
    </w:p>
    <w:p>
      <w:pPr>
        <w:spacing w:after="80" w:before="220"/>
      </w:pPr>
      <w:r>
        <w:rPr>
          <w:b/>
          <w:bCs/>
          <w:sz w:val="23"/>
          <w:szCs w:val="23"/>
        </w:rPr>
        <w:t xml:space="preserve">3.9 Extradition Defence</w:t>
      </w:r>
    </w:p>
    <w:p>
      <w:pPr>
        <w:spacing w:after="120"/>
      </w:pPr>
      <w:r>
        <w:t xml:space="preserve">Defence costs in responding to an extradition proceeding against an insured person, in connection with a wrongful act.</w:t>
      </w:r>
    </w:p>
    <w:p>
      <w:pPr>
        <w:spacing w:after="80" w:before="220"/>
      </w:pPr>
      <w:r>
        <w:rPr>
          <w:b/>
          <w:bCs/>
          <w:sz w:val="23"/>
          <w:szCs w:val="23"/>
        </w:rPr>
        <w:t xml:space="preserve">3.10 Loss of Earnings</w:t>
      </w:r>
    </w:p>
    <w:p>
      <w:pPr>
        <w:spacing w:after="120"/>
      </w:pPr>
      <w:r>
        <w:t xml:space="preserve">$1,000 per day for an insured person attending court, a tribunal, an AFCA hearing, or a regulatory proceeding at our request, in connection with a covered claim, subject to a maximum of $20,000 in total for any one claim.</w:t>
      </w:r>
    </w:p>
    <w:p>
      <w:pPr>
        <w:pBdr>
          <w:bottom w:val="single" w:color="E2D9C8" w:sz="6" w:space="1"/>
        </w:pBdr>
        <w:spacing w:after="200" w:before="100"/>
      </w:pPr>
    </w:p>
    <w:p>
      <w:pPr>
        <w:pStyle w:val="Heading1"/>
        <w:spacing w:after="160" w:before="360"/>
      </w:pPr>
      <w:r>
        <w:t xml:space="preserve">4 Crime</w:t>
      </w:r>
    </w:p>
    <w:p>
      <w:pPr>
        <w:pStyle w:val="Heading2"/>
        <w:spacing w:after="120" w:before="240"/>
      </w:pPr>
      <w:r>
        <w:t xml:space="preserve">What Is Covered</w:t>
      </w:r>
    </w:p>
    <w:p>
      <w:pPr>
        <w:spacing w:after="80" w:before="220"/>
      </w:pPr>
      <w:r>
        <w:rPr>
          <w:b/>
          <w:bCs/>
          <w:sz w:val="23"/>
          <w:szCs w:val="23"/>
        </w:rPr>
        <w:t xml:space="preserve">4.1 Employee Dishonesty</w:t>
      </w:r>
    </w:p>
    <w:p>
      <w:pPr>
        <w:spacing w:after="120"/>
      </w:pPr>
      <w:r>
        <w:t xml:space="preserve">You or a fund's direct financial loss caused by a dishonest act committed by an employee, first discovered during the policy period.</w:t>
      </w:r>
    </w:p>
    <w:p>
      <w:pPr>
        <w:spacing w:after="120"/>
      </w:pPr>
      <w:r>
        <w:t xml:space="preserve">This covers:</w:t>
      </w:r>
    </w:p>
    <w:p>
      <w:pPr>
        <w:spacing w:after="60"/>
        <w:ind w:left="431"/>
      </w:pPr>
      <w:r>
        <w:t xml:space="preserve">(a) theft of money, securities, digital assets, cryptocurrency, or other fund assets;</w:t>
      </w:r>
    </w:p>
    <w:p>
      <w:pPr>
        <w:spacing w:after="60"/>
        <w:ind w:left="431"/>
      </w:pPr>
      <w:r>
        <w:t xml:space="preserve">(b) fraudulent transfers from your accounts or fund accounts;</w:t>
      </w:r>
    </w:p>
    <w:p>
      <w:pPr>
        <w:spacing w:after="60"/>
        <w:ind w:left="431"/>
      </w:pPr>
      <w:r>
        <w:t xml:space="preserve">(c) fraudulent alteration of records, valuations, or unit prices;</w:t>
      </w:r>
    </w:p>
    <w:p>
      <w:pPr>
        <w:spacing w:after="60"/>
        <w:ind w:left="431"/>
      </w:pPr>
      <w:r>
        <w:t xml:space="preserve">(d) deliberate misallocation of trades or investments; and</w:t>
      </w:r>
    </w:p>
    <w:p>
      <w:pPr>
        <w:spacing w:after="60"/>
        <w:ind w:left="431"/>
      </w:pPr>
      <w:r>
        <w:t xml:space="preserve">(e) embezzlement and misappropriation.</w:t>
      </w:r>
    </w:p>
    <w:p>
      <w:pPr>
        <w:spacing w:after="80" w:before="220"/>
      </w:pPr>
      <w:r>
        <w:rPr>
          <w:b/>
          <w:bCs/>
          <w:sz w:val="23"/>
          <w:szCs w:val="23"/>
        </w:rPr>
        <w:t xml:space="preserve">4.2 Third-Party Service Provider Dishonesty</w:t>
      </w:r>
    </w:p>
    <w:p>
      <w:pPr>
        <w:spacing w:after="120"/>
      </w:pPr>
      <w:r>
        <w:t xml:space="preserve">You or a fund's direct financial loss caused by a dishonest act committed by an employee of a third-party service provider while performing services for you or the fund — provided the act was directed at you or the fund.</w:t>
      </w:r>
    </w:p>
    <w:p>
      <w:pPr>
        <w:spacing w:after="80" w:before="220"/>
      </w:pPr>
      <w:r>
        <w:rPr>
          <w:b/>
          <w:bCs/>
          <w:sz w:val="23"/>
          <w:szCs w:val="23"/>
        </w:rPr>
        <w:t xml:space="preserve">4.3 Forgery and Alteration</w:t>
      </w:r>
    </w:p>
    <w:p>
      <w:pPr>
        <w:spacing w:after="120"/>
      </w:pPr>
      <w:r>
        <w:t xml:space="preserve">Your loss from forgery of, or fraudulent alteration to, any financial instrument, instruction, or authorisation, resulting in a payment from your accounts or fund accounts.</w:t>
      </w:r>
    </w:p>
    <w:p>
      <w:pPr>
        <w:spacing w:after="80" w:before="220"/>
      </w:pPr>
      <w:r>
        <w:rPr>
          <w:b/>
          <w:bCs/>
          <w:sz w:val="23"/>
          <w:szCs w:val="23"/>
        </w:rPr>
        <w:t xml:space="preserve">4.4 Computer Crime</w:t>
      </w:r>
    </w:p>
    <w:p>
      <w:pPr>
        <w:spacing w:after="120"/>
      </w:pPr>
      <w:r>
        <w:t xml:space="preserve">Your loss from fraudulent entry, modification, or deletion of data in your computer system by a third party, resulting in the unauthorised transfer of money or fund assets.</w:t>
      </w:r>
    </w:p>
    <w:p>
      <w:pPr>
        <w:spacing w:after="80" w:before="220"/>
      </w:pPr>
      <w:r>
        <w:rPr>
          <w:b/>
          <w:bCs/>
          <w:sz w:val="23"/>
          <w:szCs w:val="23"/>
        </w:rPr>
        <w:t xml:space="preserve">4.5 Funds Transfer Fraud</w:t>
      </w:r>
    </w:p>
    <w:p>
      <w:pPr>
        <w:spacing w:after="120"/>
      </w:pPr>
      <w:r>
        <w:t xml:space="preserve">Your loss from a fraudulent funds transfer instruction issued by a third party who has gained unauthorised access to your banking or communication systems.</w:t>
      </w:r>
    </w:p>
    <w:p>
      <w:pPr>
        <w:spacing w:after="80" w:before="220"/>
      </w:pPr>
      <w:r>
        <w:rPr>
          <w:b/>
          <w:bCs/>
          <w:sz w:val="23"/>
          <w:szCs w:val="23"/>
        </w:rPr>
        <w:t xml:space="preserve">4.6 Social Engineering Fraud</w:t>
      </w:r>
    </w:p>
    <w:p>
      <w:pPr>
        <w:spacing w:after="120"/>
      </w:pPr>
      <w:r>
        <w:t xml:space="preserve">Your loss from a funds transfer or delivery of money made in good faith as a result of a fraudulent communication impersonating a genuine person or entity. Whether reasonable verification steps were followed is a factor we take into account in assessing the claim; it is not a condition precedent to cover under this clause.</w:t>
      </w:r>
    </w:p>
    <w:p>
      <w:pPr>
        <w:pStyle w:val="Heading2"/>
        <w:spacing w:after="120" w:before="240"/>
      </w:pPr>
      <w:r>
        <w:t xml:space="preserve">Extensions — Section 4</w:t>
      </w:r>
    </w:p>
    <w:p>
      <w:pPr>
        <w:spacing w:after="80" w:before="220"/>
      </w:pPr>
      <w:r>
        <w:rPr>
          <w:b/>
          <w:bCs/>
          <w:sz w:val="23"/>
          <w:szCs w:val="23"/>
        </w:rPr>
        <w:t xml:space="preserve">4.7 Forensic Investigation Costs</w:t>
      </w:r>
    </w:p>
    <w:p>
      <w:pPr>
        <w:spacing w:after="120"/>
      </w:pPr>
      <w:r>
        <w:t xml:space="preserve">Reasonable costs of forensic accountants or fraud investigators.</w:t>
      </w:r>
    </w:p>
    <w:p>
      <w:pPr>
        <w:spacing w:after="80" w:before="220"/>
      </w:pPr>
      <w:r>
        <w:rPr>
          <w:b/>
          <w:bCs/>
          <w:sz w:val="23"/>
          <w:szCs w:val="23"/>
        </w:rPr>
        <w:t xml:space="preserve">4.8 Reconstitution of Records</w:t>
      </w:r>
    </w:p>
    <w:p>
      <w:pPr>
        <w:spacing w:after="120"/>
      </w:pPr>
      <w:r>
        <w:t xml:space="preserve">Costs of reconstituting financial records destroyed to conceal a dishonest act.</w:t>
      </w:r>
    </w:p>
    <w:p>
      <w:pPr>
        <w:spacing w:after="80" w:before="220"/>
      </w:pPr>
      <w:r>
        <w:rPr>
          <w:b/>
          <w:bCs/>
          <w:sz w:val="23"/>
          <w:szCs w:val="23"/>
        </w:rPr>
        <w:t xml:space="preserve">4.9 Client / Investor Notification Costs</w:t>
      </w:r>
    </w:p>
    <w:p>
      <w:pPr>
        <w:spacing w:after="120"/>
      </w:pPr>
      <w:r>
        <w:t xml:space="preserve">If an employee's dishonest act affects fund investors or your clients, we will pay reasonable costs of notifying affected persons.</w:t>
      </w:r>
    </w:p>
    <w:p>
      <w:pPr>
        <w:spacing w:after="80" w:before="220"/>
      </w:pPr>
      <w:r>
        <w:rPr>
          <w:b/>
          <w:bCs/>
          <w:sz w:val="23"/>
          <w:szCs w:val="23"/>
        </w:rPr>
        <w:t xml:space="preserve">4.10 Payment to Funds</w:t>
      </w:r>
    </w:p>
    <w:p>
      <w:pPr>
        <w:spacing w:after="120"/>
      </w:pPr>
      <w:r>
        <w:t xml:space="preserve">Where this Section covers a fund's direct financial loss, we will pay you, for the benefit of the affected fund, unless we agree otherwise in writing with you and the fund. The Insured definition (clause 1) and clause 6.7 (Other Insurance) state how this Section applies where the fund has separate insurance of its own.</w:t>
      </w:r>
    </w:p>
    <w:p>
      <w:pPr>
        <w:spacing w:after="80" w:before="220"/>
      </w:pPr>
      <w:r>
        <w:rPr>
          <w:b/>
          <w:bCs/>
          <w:sz w:val="23"/>
          <w:szCs w:val="23"/>
        </w:rPr>
        <w:t xml:space="preserve">4.11 Single Loss</w:t>
      </w:r>
    </w:p>
    <w:p>
      <w:pPr>
        <w:spacing w:after="120"/>
      </w:pPr>
      <w:r>
        <w:t xml:space="preserve">All direct financial loss under this Section caused by, or involving, one dishonest act, or a series of dishonest acts that are the same, similar, or related, or that involve one or more employees acting alone or in collusion pursuant to a single scheme or course of conduct, is treated as one loss, first discovered when the earliest constituent act was discovered. A single loss that spans more than one policy period is treated as discovered in, and is subject to the limit, excess, and terms of, the policy period in which it was first discovered.</w:t>
      </w:r>
    </w:p>
    <w:p>
      <w:pPr>
        <w:spacing w:after="80" w:before="220"/>
      </w:pPr>
      <w:r>
        <w:rPr>
          <w:b/>
          <w:bCs/>
          <w:sz w:val="23"/>
          <w:szCs w:val="23"/>
        </w:rPr>
        <w:t xml:space="preserve">4.12 Digital Assets and Cryptocurrency</w:t>
      </w:r>
    </w:p>
    <w:p>
      <w:pPr>
        <w:spacing w:after="120"/>
      </w:pPr>
      <w:r>
        <w:t xml:space="preserve">Fund assets (clause 1) includes digital assets and cryptocurrency. Loss of digital assets or cryptocurrency is covered under this Section on the same basis as other fund assets. Endorsement E13 (Cryptocurrency / Digital Asset Fund Management) provides enhanced terms — including custody, wallet-security, and valuation provisions — for funds with material digital-asset exposure; it does not remove or narrow the base-form cover in this clause. </w:t>
      </w:r>
      <w:r>
        <w:rPr>
          <w:b/>
          <w:bCs/>
          <w:i/>
          <w:iCs/>
          <w:color w:val="1C1915"/>
        </w:rPr>
        <w:t xml:space="preserve"/>
      </w:r>
    </w:p>
    <w:p>
      <w:pPr>
        <w:pBdr>
          <w:bottom w:val="single" w:color="E2D9C8" w:sz="6" w:space="1"/>
        </w:pBdr>
        <w:spacing w:after="200" w:before="100"/>
      </w:pPr>
    </w:p>
    <w:p>
      <w:pPr>
        <w:pStyle w:val="Heading1"/>
        <w:spacing w:after="160" w:before="360"/>
      </w:pPr>
      <w:r>
        <w:t xml:space="preserve">5 What Is Not Covered — All Sections</w:t>
      </w:r>
    </w:p>
    <w:p>
      <w:pPr>
        <w:spacing w:after="80" w:before="220"/>
      </w:pPr>
      <w:r>
        <w:rPr>
          <w:b/>
          <w:bCs/>
          <w:sz w:val="23"/>
          <w:szCs w:val="23"/>
        </w:rPr>
        <w:t xml:space="preserve">5.1 Dishonesty and Fraud (Sections 2 and 3)</w:t>
      </w:r>
    </w:p>
    <w:p>
      <w:pPr>
        <w:spacing w:after="120"/>
      </w:pPr>
      <w:r>
        <w:t xml:space="preserve">Claims arising from deliberately dishonest, fraudulent, or criminal conduct — but only after final adjudication (a judgment or finding after exhaustion of all appeal rights, or a formal admission by the insured person concerned). Defence costs advanced until then, repayable if there is final adjudication. Severability applies (see clause 8.1).</w:t>
      </w:r>
    </w:p>
    <w:p>
      <w:pPr>
        <w:spacing w:after="80" w:before="220"/>
      </w:pPr>
      <w:r>
        <w:rPr>
          <w:b/>
          <w:bCs/>
          <w:sz w:val="23"/>
          <w:szCs w:val="23"/>
        </w:rPr>
        <w:t xml:space="preserve">5.2 Personal Profit</w:t>
      </w:r>
    </w:p>
    <w:p>
      <w:pPr>
        <w:spacing w:after="120"/>
      </w:pPr>
      <w:r>
        <w:t xml:space="preserve">Personal profit to which the insured person was not entitled — after final adjudication.</w:t>
      </w:r>
    </w:p>
    <w:p>
      <w:pPr>
        <w:spacing w:after="80" w:before="220"/>
      </w:pPr>
      <w:r>
        <w:rPr>
          <w:b/>
          <w:bCs/>
          <w:sz w:val="23"/>
          <w:szCs w:val="23"/>
        </w:rPr>
        <w:t xml:space="preserve">5.3 Insured Versus Insured</w:t>
      </w:r>
    </w:p>
    <w:p>
      <w:pPr>
        <w:spacing w:after="120"/>
      </w:pPr>
      <w:r>
        <w:t xml:space="preserve">Claims by one insured against another — except: claims by a liquidator/administrator/receiver; derivative actions by unitholders or shareholders; whistleblower claims (within the meaning of Part 9.4AAA of the Corporations Act 2001 (Cth)); third-party-funded claims; employment claims; and cross-claims.</w:t>
      </w:r>
    </w:p>
    <w:p>
      <w:pPr>
        <w:spacing w:after="80" w:before="220"/>
      </w:pPr>
      <w:r>
        <w:rPr>
          <w:b/>
          <w:bCs/>
          <w:sz w:val="23"/>
          <w:szCs w:val="23"/>
        </w:rPr>
        <w:t xml:space="preserve">5.4 Prior Known Matters</w:t>
      </w:r>
    </w:p>
    <w:p>
      <w:pPr>
        <w:spacing w:after="120"/>
      </w:pPr>
      <w:r>
        <w:t xml:space="preserve">Claims arising from matters known before the retroactive date that the insured knew might lead to a claim. Knowledge assessed individually (see clause 8.1).</w:t>
      </w:r>
    </w:p>
    <w:p>
      <w:pPr>
        <w:spacing w:after="80" w:before="220"/>
      </w:pPr>
      <w:r>
        <w:rPr>
          <w:b/>
          <w:bCs/>
          <w:sz w:val="23"/>
          <w:szCs w:val="23"/>
        </w:rPr>
        <w:t xml:space="preserve">5.5 Prior and Pending Litigation</w:t>
      </w:r>
    </w:p>
    <w:p>
      <w:pPr>
        <w:spacing w:after="120"/>
      </w:pPr>
      <w:r>
        <w:t xml:space="preserve">Claims arising from proceedings pending before the retroactive date, or from substantially the same facts.</w:t>
      </w:r>
    </w:p>
    <w:p>
      <w:pPr>
        <w:spacing w:after="80" w:before="220"/>
      </w:pPr>
      <w:r>
        <w:rPr>
          <w:b/>
          <w:bCs/>
          <w:sz w:val="23"/>
          <w:szCs w:val="23"/>
        </w:rPr>
        <w:t xml:space="preserve">5.6 Bodily Injury and Property Damage</w:t>
      </w:r>
    </w:p>
    <w:p>
      <w:pPr>
        <w:spacing w:after="120"/>
      </w:pPr>
      <w:r>
        <w:t xml:space="preserve">Death, bodily injury, or physical damage — except mental injury in employment or regulatory claims, and defence costs in WHS proceedings. WHS fines and penalties are not insured to the extent insuring them is prohibited by law in the relevant State or Territory.</w:t>
      </w:r>
    </w:p>
    <w:p>
      <w:pPr>
        <w:spacing w:after="80" w:before="220"/>
      </w:pPr>
      <w:r>
        <w:rPr>
          <w:b/>
          <w:bCs/>
          <w:sz w:val="23"/>
          <w:szCs w:val="23"/>
        </w:rPr>
        <w:t xml:space="preserve">5.7 Fund Performance</w:t>
      </w:r>
    </w:p>
    <w:p>
      <w:pPr>
        <w:spacing w:after="120"/>
      </w:pPr>
      <w:r>
        <w:t xml:space="preserve">Any claim alleging that the performance or return of a fund or investment was inadequate, or that an investment decision resulted in a loss — unless the claim also alleges a breach of duty, negligence, misleading conduct, or another wrongful act.</w:t>
      </w:r>
    </w:p>
    <w:p>
      <w:pPr>
        <w:spacing w:after="120"/>
      </w:pPr>
      <w:r>
        <w:t xml:space="preserve">We do not guarantee investment performance. But if you breached your duty of care in making an investment decision, and an investor claims that breach caused their loss, that is covered.</w:t>
      </w:r>
    </w:p>
    <w:p>
      <w:pPr>
        <w:spacing w:after="80" w:before="220"/>
      </w:pPr>
      <w:r>
        <w:rPr>
          <w:b/>
          <w:bCs/>
          <w:sz w:val="23"/>
          <w:szCs w:val="23"/>
        </w:rPr>
        <w:t xml:space="preserve">5.8 Trading Losses (Section 4)</w:t>
      </w:r>
    </w:p>
    <w:p>
      <w:pPr>
        <w:spacing w:after="120"/>
      </w:pPr>
      <w:r>
        <w:t xml:space="preserve">Direct investment or trading losses — whether authorised or unauthorised — except where the trading was conducted by an employee committing a dishonest act and qualifies under clause 4.1.</w:t>
      </w:r>
    </w:p>
    <w:p>
      <w:pPr>
        <w:spacing w:after="80" w:before="220"/>
      </w:pPr>
      <w:r>
        <w:rPr>
          <w:b/>
          <w:bCs/>
          <w:sz w:val="23"/>
          <w:szCs w:val="23"/>
        </w:rPr>
        <w:t xml:space="preserve">5.9 Fees and Commissions</w:t>
      </w:r>
    </w:p>
    <w:p>
      <w:pPr>
        <w:spacing w:after="120"/>
      </w:pPr>
      <w:r>
        <w:t xml:space="preserve">The return of management fees, performance fees, commissions, or other charges that you were not entitled to receive — except where the obligation to return fees arises directly from a covered claim and the return is ordered by a court, tribunal, or AFCA as part of a compensation award.</w:t>
      </w:r>
    </w:p>
    <w:p>
      <w:pPr>
        <w:spacing w:after="80" w:before="220"/>
      </w:pPr>
      <w:r>
        <w:rPr>
          <w:b/>
          <w:bCs/>
          <w:sz w:val="23"/>
          <w:szCs w:val="23"/>
        </w:rPr>
        <w:t xml:space="preserve">5.10 Product Design and Distribution</w:t>
      </w:r>
    </w:p>
    <w:p>
      <w:pPr>
        <w:spacing w:after="120"/>
      </w:pPr>
      <w:r>
        <w:t xml:space="preserve">Claims alleging that a financial product was inherently defective in its design, or that the product was distributed outside its target market in breach of the design and distribution obligations — except to the extent the claim alleges a wrongful act by an insured in the design, governance, or distribution process.</w:t>
      </w:r>
    </w:p>
    <w:p>
      <w:pPr>
        <w:spacing w:after="120"/>
      </w:pPr>
      <w:r>
        <w:t xml:space="preserve">ASIC stop orders and product intervention orders are covered as </w:t>
      </w:r>
      <w:r>
        <w:rPr>
          <w:b/>
          <w:bCs/>
        </w:rPr>
        <w:t xml:space="preserve">regulatory proceedings</w:t>
      </w:r>
      <w:r>
        <w:t xml:space="preserve"> under clause 2.2.</w:t>
      </w:r>
    </w:p>
    <w:p>
      <w:pPr>
        <w:spacing w:after="80" w:before="220"/>
      </w:pPr>
      <w:r>
        <w:rPr>
          <w:b/>
          <w:bCs/>
          <w:sz w:val="23"/>
          <w:szCs w:val="23"/>
        </w:rPr>
        <w:t xml:space="preserve">5.11 War, Terrorism, Sanctions, Nuclear</w:t>
      </w:r>
    </w:p>
    <w:p>
      <w:pPr>
        <w:spacing w:after="120"/>
      </w:pPr>
      <w:r>
        <w:t xml:space="preserve">War, terrorism, and nuclear risks: We do not cover any loss or liability arising directly or indirectly from (a) war (whether or not declared), invasion, hostilities, rebellion, revolution, insurrection, civil unrest, or the use or usurpation of military power, or any similar belligerent act; (b) any act of terrorism, meaning an act, or threat of an act, involving force, violence, or serious harm to people, property, or systems, committed for a political, religious, ideological, or similar purpose and intended to influence a government or to intimidate the public or a section of it; or (c) radioactivity, or radioactive, nuclear, or ionising-radiation material of any kind. This exclusion applies regardless of any other cause or event contributing concurrently or in any sequence to the loss.</w:t>
      </w:r>
    </w:p>
    <w:p>
      <w:pPr>
        <w:spacing w:after="120"/>
      </w:pPr>
      <w:r>
        <w:t xml:space="preserve">Sanctions: we are not required to provide cover, or to make any payment, to the extent that doing so would expose us to enforcement action under the Autonomous Sanctions Act 2011 (Cth), the Charter of the United Nations Act 1945 (Cth), or the trade or economic sanctions, laws, or regulations of the United States, the United Kingdom, the European Union, or Australia.</w:t>
      </w:r>
    </w:p>
    <w:p>
      <w:pPr>
        <w:spacing w:after="80" w:before="220"/>
      </w:pPr>
      <w:r>
        <w:rPr>
          <w:b/>
          <w:bCs/>
          <w:sz w:val="23"/>
          <w:szCs w:val="23"/>
        </w:rPr>
        <w:t xml:space="preserve">5.12 Cyber Event</w:t>
      </w:r>
    </w:p>
    <w:p>
      <w:pPr>
        <w:spacing w:after="120"/>
      </w:pPr>
      <w:r>
        <w:t xml:space="preserve">First-party cyber losses (data restoration, business interruption, incident response). Third-party cyber liability is excluded except to the extent it arises from a breach of duty in your financial services activities (e.g., failure to protect client data in the course of providing financial services).</w:t>
      </w:r>
    </w:p>
    <w:p>
      <w:pPr>
        <w:spacing w:after="80" w:before="220"/>
      </w:pPr>
      <w:r>
        <w:rPr>
          <w:b/>
          <w:bCs/>
          <w:sz w:val="23"/>
          <w:szCs w:val="23"/>
        </w:rPr>
        <w:t xml:space="preserve">5.13 US / Canada Jurisdiction</w:t>
      </w:r>
    </w:p>
    <w:p>
      <w:pPr>
        <w:spacing w:after="120"/>
      </w:pPr>
      <w:r>
        <w:t xml:space="preserve">Claims brought or maintained in the US or Canada — unless Endorsement E01 is operative.</w:t>
      </w:r>
    </w:p>
    <w:p>
      <w:pPr>
        <w:spacing w:after="80" w:before="220"/>
      </w:pPr>
      <w:r>
        <w:rPr>
          <w:b/>
          <w:bCs/>
          <w:sz w:val="23"/>
          <w:szCs w:val="23"/>
        </w:rPr>
        <w:t xml:space="preserve">5.14 Employer's Liability</w:t>
      </w:r>
    </w:p>
    <w:p>
      <w:pPr>
        <w:spacing w:after="120"/>
      </w:pPr>
      <w:r>
        <w:t xml:space="preserve">Employment-related claims (unfair dismissal, discrimination, harassment). Covered under management liability or EPL (see Endorsement E12).</w:t>
      </w:r>
    </w:p>
    <w:p>
      <w:pPr>
        <w:pBdr>
          <w:bottom w:val="single" w:color="E2D9C8" w:sz="6" w:space="1"/>
        </w:pBdr>
        <w:spacing w:after="200" w:before="100"/>
      </w:pPr>
    </w:p>
    <w:p>
      <w:pPr>
        <w:pStyle w:val="Heading1"/>
        <w:spacing w:after="160" w:before="360"/>
      </w:pPr>
      <w:r>
        <w:t xml:space="preserve">6 How Much We Will Pay</w:t>
      </w:r>
    </w:p>
    <w:p>
      <w:pPr>
        <w:spacing w:after="80" w:before="220"/>
      </w:pPr>
      <w:r>
        <w:rPr>
          <w:b/>
          <w:bCs/>
          <w:sz w:val="23"/>
          <w:szCs w:val="23"/>
        </w:rPr>
        <w:t xml:space="preserve">6.1 Section Limits and Overall Aggregate</w:t>
      </w:r>
    </w:p>
    <w:p>
      <w:pPr>
        <w:spacing w:after="120"/>
      </w:pPr>
      <w:r>
        <w:t xml:space="preserve">Each section has its own per-claim and aggregate limit. The overall aggregate is the most we will pay across all sections combined.</w:t>
      </w:r>
    </w:p>
    <w:p>
      <w:pPr>
        <w:spacing w:after="80" w:before="220"/>
      </w:pPr>
      <w:r>
        <w:rPr>
          <w:b/>
          <w:bCs/>
          <w:sz w:val="23"/>
          <w:szCs w:val="23"/>
        </w:rPr>
        <w:t xml:space="preserve">6.2 Priority of Payment</w:t>
      </w:r>
    </w:p>
    <w:p>
      <w:pPr>
        <w:spacing w:after="120"/>
      </w:pPr>
      <w:r>
        <w:t xml:space="preserve">First: Section 3 Side A — personal non-indemnifiable loss and defence costs of insured persons.</w:t>
      </w:r>
    </w:p>
    <w:p>
      <w:pPr>
        <w:spacing w:after="120"/>
      </w:pPr>
      <w:r>
        <w:t xml:space="preserve">Second: Section 2 — professional liability claims and regulatory proceedings.</w:t>
      </w:r>
    </w:p>
    <w:p>
      <w:pPr>
        <w:spacing w:after="120"/>
      </w:pPr>
      <w:r>
        <w:t xml:space="preserve">Third: Section 3 Side B — company reimbursement.</w:t>
      </w:r>
    </w:p>
    <w:p>
      <w:pPr>
        <w:spacing w:after="120"/>
      </w:pPr>
      <w:r>
        <w:t xml:space="preserve">Fourth: Section 4 — crime losses.</w:t>
      </w:r>
    </w:p>
    <w:p>
      <w:pPr>
        <w:spacing w:after="80" w:before="220"/>
      </w:pPr>
      <w:r>
        <w:rPr>
          <w:b/>
          <w:bCs/>
          <w:sz w:val="23"/>
          <w:szCs w:val="23"/>
        </w:rPr>
        <w:t xml:space="preserve">6.3 Defence Costs</w:t>
      </w:r>
    </w:p>
    <w:p>
      <w:pPr>
        <w:spacing w:after="120"/>
      </w:pPr>
      <w:r>
        <w:t xml:space="preserve">Included within the limit of liability unless the schedule states otherwise. Advanced as incurred.</w:t>
      </w:r>
    </w:p>
    <w:p>
      <w:pPr>
        <w:spacing w:after="80" w:before="220"/>
      </w:pPr>
      <w:r>
        <w:rPr>
          <w:b/>
          <w:bCs/>
          <w:sz w:val="23"/>
          <w:szCs w:val="23"/>
        </w:rPr>
        <w:t xml:space="preserve">6.4 Allocation</w:t>
      </w:r>
    </w:p>
    <w:p>
      <w:pPr>
        <w:spacing w:after="120"/>
      </w:pPr>
      <w:r>
        <w:t xml:space="preserve">If a claim involves covered and uncovered matters or parties, we will agree a fair and reasonable allocation having regard to the relative legal and financial exposure of covered and uncovered matters and parties. If we cannot agree, a Senior Counsel, mutually agreed or, failing agreement, nominated by the President of the relevant State or Territory Bar Association, will determine the allocation, and that determination is binding on the allocation question only.</w:t>
      </w:r>
    </w:p>
    <w:p>
      <w:pPr>
        <w:spacing w:after="80" w:before="220"/>
      </w:pPr>
      <w:r>
        <w:rPr>
          <w:b/>
          <w:bCs/>
          <w:sz w:val="23"/>
          <w:szCs w:val="23"/>
        </w:rPr>
        <w:t xml:space="preserve">6.5 No Excess on Side A</w:t>
      </w:r>
    </w:p>
    <w:p>
      <w:pPr>
        <w:spacing w:after="120"/>
      </w:pPr>
      <w:r>
        <w:t xml:space="preserve">No excess for insured persons under Section 3 Side A.</w:t>
      </w:r>
    </w:p>
    <w:p>
      <w:pPr>
        <w:spacing w:after="80" w:before="220"/>
      </w:pPr>
      <w:r>
        <w:rPr>
          <w:b/>
          <w:bCs/>
          <w:sz w:val="23"/>
          <w:szCs w:val="23"/>
        </w:rPr>
        <w:t xml:space="preserve">6.6 Cross-Section Application</w:t>
      </w:r>
    </w:p>
    <w:p>
      <w:pPr>
        <w:spacing w:after="120"/>
      </w:pPr>
      <w:r>
        <w:t xml:space="preserve">If a single event gives rise to losses under more than one section (for example, an employee commits fraud — Section 4 — and investors bring a claim alleging negligent supervision — Section 2), each section responds to its own type of loss, but the overall aggregate limits the total we pay. Where the same loss is capable of being paid under more than one insuring clause, it is paid once, under the clause with the highest applicable limit, subject to one excess.</w:t>
      </w:r>
    </w:p>
    <w:p>
      <w:pPr>
        <w:spacing w:after="80" w:before="220"/>
      </w:pPr>
      <w:r>
        <w:rPr>
          <w:b/>
          <w:bCs/>
          <w:sz w:val="23"/>
          <w:szCs w:val="23"/>
        </w:rPr>
        <w:t xml:space="preserve">6.7 Other Insurance</w:t>
      </w:r>
    </w:p>
    <w:p>
      <w:pPr>
        <w:spacing w:after="120"/>
      </w:pPr>
      <w:r>
        <w:t xml:space="preserve">This policy is excess over other valid insurance responding to the same loss, except Section 3 Side A, which is always primary for non-indemnifiable loss. This clause states a priority rule; it does not relieve us of liability merely because other insurance exists (see s 45 of the Insurance Contracts Act 1984 (Cth)).</w:t>
      </w:r>
    </w:p>
    <w:p>
      <w:pPr>
        <w:spacing w:after="80" w:before="220"/>
      </w:pPr>
      <w:r>
        <w:rPr>
          <w:b/>
          <w:bCs/>
          <w:sz w:val="23"/>
          <w:szCs w:val="23"/>
        </w:rPr>
        <w:t xml:space="preserve">6.8 Multiple Funds — Limit Sharing</w:t>
      </w:r>
    </w:p>
    <w:p>
      <w:pPr>
        <w:spacing w:after="120"/>
      </w:pPr>
      <w:r>
        <w:t xml:space="preserve">Where the schedule (Item 7) lists more than one fund, all funds share the section limits and the overall aggregate stated in Item 4 of the schedule; a loss involving, or a claim by or on behalf of, one fund reduces the limit available to every other fund insured under this policy. Item 7 of the schedule may instead state a per-fund sub-limit, or a stated sharing rule, for one or more named funds, in which case that sub-limit or rule applies to that fund in place of unrestricted sharing. </w:t>
      </w:r>
      <w:r>
        <w:rPr>
          <w:b/>
          <w:bCs/>
          <w:i/>
          <w:iCs/>
          <w:color w:val="1C1915"/>
        </w:rPr>
        <w:t xml:space="preserve"/>
      </w:r>
    </w:p>
    <w:p>
      <w:pPr>
        <w:pBdr>
          <w:bottom w:val="single" w:color="E2D9C8" w:sz="6" w:space="1"/>
        </w:pBdr>
        <w:spacing w:after="200" w:before="100"/>
      </w:pPr>
    </w:p>
    <w:p>
      <w:pPr>
        <w:pStyle w:val="Heading1"/>
        <w:spacing w:after="160" w:before="360"/>
      </w:pPr>
      <w:r>
        <w:t xml:space="preserve">7 Your Obligations</w:t>
      </w:r>
    </w:p>
    <w:p>
      <w:pPr>
        <w:spacing w:after="80" w:before="220"/>
      </w:pPr>
      <w:r>
        <w:rPr>
          <w:b/>
          <w:bCs/>
          <w:sz w:val="23"/>
          <w:szCs w:val="23"/>
        </w:rPr>
        <w:t xml:space="preserve">7.1 Notify Claims (Sections 2 and 3)</w:t>
      </w:r>
    </w:p>
    <w:p>
      <w:pPr>
        <w:spacing w:after="120"/>
      </w:pPr>
      <w:r>
        <w:t xml:space="preserve">Tell us in writing as soon as reasonably practicable after a claim is made.</w:t>
      </w:r>
    </w:p>
    <w:p>
      <w:pPr>
        <w:spacing w:after="80" w:before="220"/>
      </w:pPr>
      <w:r>
        <w:rPr>
          <w:b/>
          <w:bCs/>
          <w:sz w:val="23"/>
          <w:szCs w:val="23"/>
        </w:rPr>
        <w:t xml:space="preserve">7.2 Notify Circumstances (Sections 2 and 3)</w:t>
      </w:r>
    </w:p>
    <w:p>
      <w:pPr>
        <w:spacing w:after="120"/>
      </w:pPr>
      <w:r>
        <w:t xml:space="preserve">Tell us during the policy period of any circumstance that might reasonably give rise to a claim. Later claims from notified circumstances are treated as made during this policy period. This is the notification referred to in clause 2.4 and implements s 40(3) of the Insurance Contracts Act 1984 (Cth).</w:t>
      </w:r>
    </w:p>
    <w:p>
      <w:pPr>
        <w:spacing w:after="120"/>
      </w:pPr>
      <w:r>
        <w:t xml:space="preserve">Examples specific to investment management:</w:t>
      </w:r>
    </w:p>
    <w:p>
      <w:pPr>
        <w:spacing w:after="60"/>
        <w:ind w:left="504"/>
      </w:pPr>
      <w:r>
        <w:t xml:space="preserve">• An investor or group of investors has complained about fund performance and engaged lawyers.</w:t>
      </w:r>
    </w:p>
    <w:p>
      <w:pPr>
        <w:spacing w:after="60"/>
        <w:ind w:left="504"/>
      </w:pPr>
      <w:r>
        <w:t xml:space="preserve">• ASIC has issued a s912C direction or s33 notice relating to your AFSL obligations.</w:t>
      </w:r>
    </w:p>
    <w:p>
      <w:pPr>
        <w:spacing w:after="60"/>
        <w:ind w:left="504"/>
      </w:pPr>
      <w:r>
        <w:t xml:space="preserve">• A material valuation error has been identified in a fund that may require unit price correction.</w:t>
      </w:r>
    </w:p>
    <w:p>
      <w:pPr>
        <w:spacing w:after="60"/>
        <w:ind w:left="504"/>
      </w:pPr>
      <w:r>
        <w:t xml:space="preserve">• An authorised representative has provided advice outside the scope of their authority.</w:t>
      </w:r>
    </w:p>
    <w:p>
      <w:pPr>
        <w:spacing w:after="60"/>
        <w:ind w:left="504"/>
      </w:pPr>
      <w:r>
        <w:t xml:space="preserve">• A compliance breach report has identified a systemic issue in product distribution.</w:t>
      </w:r>
    </w:p>
    <w:p>
      <w:pPr>
        <w:spacing w:after="60"/>
        <w:ind w:left="504"/>
      </w:pPr>
      <w:r>
        <w:t xml:space="preserve">• APRA has commenced a targeted review of your prudential compliance (for superannuation trustees).</w:t>
      </w:r>
    </w:p>
    <w:p>
      <w:pPr>
        <w:spacing w:after="80" w:before="220"/>
      </w:pPr>
      <w:r>
        <w:rPr>
          <w:b/>
          <w:bCs/>
          <w:sz w:val="23"/>
          <w:szCs w:val="23"/>
        </w:rPr>
        <w:t xml:space="preserve">7.3 Notify Losses (Section 4)</w:t>
      </w:r>
    </w:p>
    <w:p>
      <w:pPr>
        <w:spacing w:after="120"/>
      </w:pPr>
      <w:r>
        <w:t xml:space="preserve">Tell us within 60 days of discovery of a crime loss. Report to police.</w:t>
      </w:r>
    </w:p>
    <w:p>
      <w:pPr>
        <w:spacing w:after="80" w:before="220"/>
      </w:pPr>
      <w:r>
        <w:rPr>
          <w:b/>
          <w:bCs/>
          <w:sz w:val="23"/>
          <w:szCs w:val="23"/>
        </w:rPr>
        <w:t xml:space="preserve">7.4 Do Not Admit Liability</w:t>
      </w:r>
    </w:p>
    <w:p>
      <w:pPr>
        <w:spacing w:after="120"/>
      </w:pPr>
      <w:r>
        <w:t xml:space="preserve">Do not admit liability or settle without our consent. Consent not unreasonably withheld.</w:t>
      </w:r>
    </w:p>
    <w:p>
      <w:pPr>
        <w:spacing w:after="80" w:before="220"/>
      </w:pPr>
      <w:r>
        <w:rPr>
          <w:b/>
          <w:bCs/>
          <w:sz w:val="23"/>
          <w:szCs w:val="23"/>
        </w:rPr>
        <w:t xml:space="preserve">7.5 Cooperate</w:t>
      </w:r>
    </w:p>
    <w:p>
      <w:pPr>
        <w:spacing w:after="120"/>
      </w:pPr>
      <w:r>
        <w:t xml:space="preserve">Provide all information and assistance. Allow us to associate in defence and settlement.</w:t>
      </w:r>
    </w:p>
    <w:p>
      <w:pPr>
        <w:spacing w:after="80" w:before="220"/>
      </w:pPr>
      <w:r>
        <w:rPr>
          <w:b/>
          <w:bCs/>
          <w:sz w:val="23"/>
          <w:szCs w:val="23"/>
        </w:rPr>
        <w:t xml:space="preserve">7.6 Duty of Disclosure</w:t>
      </w:r>
    </w:p>
    <w:p>
      <w:pPr>
        <w:spacing w:after="120"/>
      </w:pPr>
      <w:r>
        <w:t xml:space="preserve">The duty of disclosure under the Insurance Contracts Act 1984 (Cth) applies to the named insured as the party proposing this contract; this is a non-consumer contract. As between us and each insured person, disclosure and knowledge are assessed individually as a matter of contract, under clause 8.1 (Severability and Non-Imputation).</w:t>
      </w:r>
    </w:p>
    <w:p>
      <w:pPr>
        <w:pBdr>
          <w:bottom w:val="single" w:color="E2D9C8" w:sz="6" w:space="1"/>
        </w:pBdr>
        <w:spacing w:after="200" w:before="100"/>
      </w:pPr>
    </w:p>
    <w:p>
      <w:pPr>
        <w:pStyle w:val="Heading1"/>
        <w:spacing w:after="160" w:before="360"/>
      </w:pPr>
      <w:r>
        <w:t xml:space="preserve">8 General Conditions</w:t>
      </w:r>
    </w:p>
    <w:p>
      <w:pPr>
        <w:spacing w:after="80" w:before="220"/>
      </w:pPr>
      <w:r>
        <w:rPr>
          <w:b/>
          <w:bCs/>
          <w:sz w:val="23"/>
          <w:szCs w:val="23"/>
        </w:rPr>
        <w:t xml:space="preserve">8.1 Severability and Non-Imputation</w:t>
      </w:r>
    </w:p>
    <w:p>
      <w:pPr>
        <w:spacing w:after="120"/>
      </w:pPr>
      <w:r>
        <w:t xml:space="preserve">Each insured person is treated as if they had a separate policy. Knowledge and conduct are not attributed between insured persons. This severability applies to every knowledge-based or conduct-based provision of this policy, including clauses 5.1, 5.2, 5.4, 5.5, 7.6, and 8.2.</w:t>
      </w:r>
    </w:p>
    <w:p>
      <w:pPr>
        <w:spacing w:after="80" w:before="220"/>
      </w:pPr>
      <w:r>
        <w:rPr>
          <w:b/>
          <w:bCs/>
          <w:sz w:val="23"/>
          <w:szCs w:val="23"/>
        </w:rPr>
        <w:t xml:space="preserve">8.2 Non-Rescindable (Section 3 Side A)</w:t>
      </w:r>
    </w:p>
    <w:p>
      <w:pPr>
        <w:spacing w:after="120"/>
      </w:pPr>
      <w:r>
        <w:t xml:space="preserve">Side A will not be avoided for any reason, except personal misrepresentation with intent to deceive by the specific insured person seeking cover, and we waive our right under s 28(3) of the Insurance Contracts Act 1984 (Cth) to reduce our liability to any other insured person for that misrepresentation.</w:t>
      </w:r>
    </w:p>
    <w:p>
      <w:pPr>
        <w:spacing w:after="80" w:before="220"/>
      </w:pPr>
      <w:r>
        <w:rPr>
          <w:b/>
          <w:bCs/>
          <w:sz w:val="23"/>
          <w:szCs w:val="23"/>
        </w:rPr>
        <w:t xml:space="preserve">8.3 Continuous Cover</w:t>
      </w:r>
    </w:p>
    <w:p>
      <w:pPr>
        <w:spacing w:after="120"/>
      </w:pPr>
      <w:r>
        <w:t xml:space="preserve">As per clause 2.8, capped at the lower of this policy's limit and the prior policy's limit, and otherwise on the terms of whichever of the two policies is less favourable to you.</w:t>
      </w:r>
    </w:p>
    <w:p>
      <w:pPr>
        <w:spacing w:after="80" w:before="220"/>
      </w:pPr>
      <w:r>
        <w:rPr>
          <w:b/>
          <w:bCs/>
          <w:sz w:val="23"/>
          <w:szCs w:val="23"/>
        </w:rPr>
        <w:t xml:space="preserve">8.4 Extended Reporting Period</w:t>
      </w:r>
    </w:p>
    <w:p>
      <w:pPr>
        <w:spacing w:after="120"/>
      </w:pPr>
      <w:r>
        <w:t xml:space="preserve">Automatic 90 days if this policy is not renewed or is cancelled (Sections 2 and 3). Section 4 has its own 60-day post-discovery notification period under clause 7.3. Extended periods for Sections 2 and 3 beyond the automatic 90 days are available for purchase under Endorsement E08, for the durations shown in the schedule when that endorsement is operative.</w:t>
      </w:r>
    </w:p>
    <w:p>
      <w:pPr>
        <w:spacing w:after="80" w:before="220"/>
      </w:pPr>
      <w:r>
        <w:rPr>
          <w:b/>
          <w:bCs/>
          <w:sz w:val="23"/>
          <w:szCs w:val="23"/>
        </w:rPr>
        <w:t xml:space="preserve">8.5 Cancellation</w:t>
      </w:r>
    </w:p>
    <w:p>
      <w:pPr>
        <w:spacing w:after="120"/>
      </w:pPr>
      <w:r>
        <w:t xml:space="preserve">By you: any time in writing. By us: we may only cancel this policy on grounds permitted by s 60 of the Insurance Contracts Act 1984 (Cth). Where we are entitled to cancel, we will give written notice as required by s 59, and will refund the premium proportionally. Cancellation does not affect a claim or circumstance already notified.</w:t>
      </w:r>
    </w:p>
    <w:p>
      <w:pPr>
        <w:spacing w:after="80" w:before="220"/>
      </w:pPr>
      <w:r>
        <w:rPr>
          <w:b/>
          <w:bCs/>
          <w:sz w:val="23"/>
          <w:szCs w:val="23"/>
        </w:rPr>
        <w:t xml:space="preserve">8.6 Change of Control</w:t>
      </w:r>
    </w:p>
    <w:p>
      <w:pPr>
        <w:spacing w:after="120"/>
      </w:pPr>
      <w:r>
        <w:t xml:space="preserve">If any person acquires more than 50% of the company's voting rights, this policy continues for the remainder of the policy period for pre-change-of-control wrongful acts only.</w:t>
      </w:r>
    </w:p>
    <w:p>
      <w:pPr>
        <w:spacing w:after="80" w:before="220"/>
      </w:pPr>
      <w:r>
        <w:rPr>
          <w:b/>
          <w:bCs/>
          <w:sz w:val="23"/>
          <w:szCs w:val="23"/>
        </w:rPr>
        <w:t xml:space="preserve">8.7 Newly Acquired Subsidiaries</w:t>
      </w:r>
    </w:p>
    <w:p>
      <w:pPr>
        <w:spacing w:after="120"/>
      </w:pPr>
      <w:r>
        <w:t xml:space="preserve">Automatic cover for 90 days from acquisition (revenue up to $10M; similar activities). Notify within 90 days.</w:t>
      </w:r>
    </w:p>
    <w:p>
      <w:pPr>
        <w:spacing w:after="80" w:before="220"/>
      </w:pPr>
      <w:r>
        <w:rPr>
          <w:b/>
          <w:bCs/>
          <w:sz w:val="23"/>
          <w:szCs w:val="23"/>
        </w:rPr>
        <w:t xml:space="preserve">8.8 Governing Law, Jurisdiction, GST, Privacy, Disputes</w:t>
      </w:r>
    </w:p>
    <w:p>
      <w:pPr>
        <w:spacing w:after="120"/>
      </w:pPr>
      <w:r>
        <w:t xml:space="preserve">Governing law: the law of the state or territory shown in Item 10 of the schedule, fixed as at the inception of the policy period.</w:t>
      </w:r>
    </w:p>
    <w:p>
      <w:pPr>
        <w:spacing w:after="120"/>
      </w:pPr>
      <w:r>
        <w:t xml:space="preserve">Jurisdiction: each party submits to the non-exclusive jurisdiction of the courts of that state or territory, and courts competent to hear appeals from them.</w:t>
      </w:r>
    </w:p>
    <w:p>
      <w:pPr>
        <w:spacing w:after="120"/>
      </w:pPr>
      <w:r>
        <w:t xml:space="preserve">GST: amounts payable under this policy are reduced by any input tax credit entitlement under A New Tax System (Goods and Services Tax) Act 1999 (Cth), and are grossed up for GST where required.</w:t>
      </w:r>
    </w:p>
    <w:p>
      <w:pPr>
        <w:spacing w:after="120"/>
      </w:pPr>
      <w:r>
        <w:t xml:space="preserve">Privacy: information is handled in accordance with the Privacy Act 1988 (Cth).</w:t>
      </w:r>
    </w:p>
    <w:p>
      <w:pPr>
        <w:spacing w:after="120"/>
      </w:pPr>
      <w:r>
        <w:t xml:space="preserve">Disputes: if you are not satisfied with a decision we make, you may access our internal dispute resolution (IDR) process — details are available on request or in our Financial Services Guide. If you remain unsatisfied after IDR, you may lodge a complaint with the Australian Financial Complaints Authority (AFCA) — www.afca.org.au | 1800 931 678.</w:t>
      </w:r>
    </w:p>
    <w:p>
      <w:pPr>
        <w:spacing w:after="80" w:before="220"/>
      </w:pPr>
      <w:r>
        <w:rPr>
          <w:b/>
          <w:bCs/>
          <w:sz w:val="23"/>
          <w:szCs w:val="23"/>
        </w:rPr>
        <w:t xml:space="preserve">8.9 Insurance Contracts Act — Savings</w:t>
      </w:r>
    </w:p>
    <w:p>
      <w:pPr>
        <w:spacing w:after="120"/>
      </w:pPr>
      <w:r>
        <w:t xml:space="preserve">Nothing in this policy excludes, restricts, or modifies the operation of the Insurance Contracts Act 1984 (Cth) (the Act). Where any provision of this policy is inconsistent with the Act, the Act prevails. Without limiting the foregoing, s 54 of the Act applies to any act or omission by an insured after this policy's inception in relation to a claim or circumstance, so that we may not refuse to pay, or reduce our liability in respect of, a claim by reason of that act or omission except to the extent permitted by s 54.</w:t>
      </w:r>
    </w:p>
    <w:p>
      <w:pPr>
        <w:spacing w:after="80" w:before="220"/>
      </w:pPr>
      <w:r>
        <w:rPr>
          <w:b/>
          <w:bCs/>
          <w:sz w:val="23"/>
          <w:szCs w:val="23"/>
        </w:rPr>
        <w:t xml:space="preserve">8.10 Fund Wind-Up Run-Off</w:t>
      </w:r>
    </w:p>
    <w:p>
      <w:pPr>
        <w:spacing w:after="120"/>
      </w:pPr>
      <w:r>
        <w:t xml:space="preserve">If a fund named in the schedule (or established during the policy period) winds up, terminates, or is transferred to another responsible entity or trustee during the policy period, cover under Sections 2, 3, and 4 continues in respect of that fund, on this policy's terms and within its limits, for wrongful acts and dishonest acts occurring before the wind-up, termination, or transfer, until the earlier of: (a) the expiry of the policy period (including any Extended Reporting Period under clause 8.4 or discovery notification period under clause 7.3 that applies); or (b) the fund obtaining its own separate insurance covering the same period.</w:t>
      </w:r>
    </w:p>
    <w:p>
      <w:pPr>
        <w:spacing w:after="120"/>
      </w:pPr>
      <w:r>
        <w:t xml:space="preserve">This clause does not extend the policy period or create a separate limit for the affected fund; clause 6.8 (Multiple Funds — Limit Sharing) continues to apply. </w:t>
      </w:r>
      <w:r>
        <w:rPr>
          <w:b/>
          <w:bCs/>
          <w:i/>
          <w:iCs/>
          <w:color w:val="1C1915"/>
        </w:rPr>
        <w:t xml:space="preserve"/>
      </w:r>
    </w:p>
    <w:p>
      <w:pPr>
        <w:pBdr>
          <w:bottom w:val="single" w:color="E2D9C8" w:sz="6" w:space="1"/>
        </w:pBdr>
        <w:spacing w:after="200" w:before="100"/>
      </w:pPr>
    </w:p>
    <w:p>
      <w:pPr>
        <w:pStyle w:val="Heading1"/>
        <w:spacing w:after="160" w:before="360"/>
      </w:pPr>
      <w:r>
        <w:t xml:space="preserve">Appendix A — Investment Managers: A Practical Guide</w:t>
      </w:r>
    </w:p>
    <w:p>
      <w:pPr>
        <w:spacing w:after="120"/>
      </w:pPr>
      <w:r>
        <w:t xml:space="preserve">This appendix is provided for context and is not part of the operative policy wording. It does not form part of the contract of insurance, does not change any cover, exclusion, condition, or limit stated in Sections 1–8 above, and is not to be used to interpret them. Where anything in this appendix conflicts with Sections 1–8, Sections 1–8 govern.</w:t>
      </w:r>
    </w:p>
    <w:p>
      <w:pPr>
        <w:pStyle w:val="Heading2"/>
        <w:spacing w:after="120" w:before="240"/>
      </w:pPr>
      <w:r>
        <w:t xml:space="preserve">Why an integrated policy, not separate covers?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000"/>
        <w:gridCol w:w="3300"/>
        <w:gridCol w:w="3300"/>
      </w:tblGrid>
      <w:tr>
        <w:trPr>
          <w:cantSplit/>
          <w:tblHeader/>
        </w:trPr>
        <w:tc>
          <w:tcPr>
            <w:tcW w:type="dxa" w:w="3000"/>
            <w:shd w:fill="1B2A4A" w:val="clear"/>
            <w:tcMar>
              <w:top w:type="dxa" w:w="80"/>
              <w:left w:type="dxa" w:w="100"/>
              <w:bottom w:type="dxa" w:w="80"/>
              <w:right w:type="dxa" w:w="100"/>
            </w:tcMar>
          </w:tcPr>
          <w:p>
            <w:r>
              <w:rPr>
                <w:b/>
                <w:bCs/>
                <w:color w:val="4A453F"/>
              </w:rPr>
              <w:t xml:space="preserve">Scenario</w:t>
            </w:r>
          </w:p>
        </w:tc>
        <w:tc>
          <w:tcPr>
            <w:tcW w:type="dxa" w:w="3300"/>
            <w:shd w:fill="1B2A4A" w:val="clear"/>
            <w:tcMar>
              <w:top w:type="dxa" w:w="80"/>
              <w:left w:type="dxa" w:w="100"/>
              <w:bottom w:type="dxa" w:w="80"/>
              <w:right w:type="dxa" w:w="100"/>
            </w:tcMar>
          </w:tcPr>
          <w:p>
            <w:r>
              <w:rPr>
                <w:b/>
                <w:bCs/>
                <w:color w:val="4A453F"/>
              </w:rPr>
              <w:t xml:space="preserve">Separate PI + D&amp;O + Crime</w:t>
            </w:r>
          </w:p>
        </w:tc>
        <w:tc>
          <w:tcPr>
            <w:tcW w:type="dxa" w:w="3300"/>
            <w:shd w:fill="1B2A4A" w:val="clear"/>
            <w:tcMar>
              <w:top w:type="dxa" w:w="80"/>
              <w:left w:type="dxa" w:w="100"/>
              <w:bottom w:type="dxa" w:w="80"/>
              <w:right w:type="dxa" w:w="100"/>
            </w:tcMar>
          </w:tcPr>
          <w:p>
            <w:r>
              <w:rPr>
                <w:b/>
                <w:bCs/>
                <w:color w:val="4A453F"/>
              </w:rPr>
              <w:t xml:space="preserve">Meridian IMI</w:t>
            </w:r>
          </w:p>
        </w:tc>
      </w:tr>
      <w:tr>
        <w:trPr>
          <w:cantSplit/>
        </w:trPr>
        <w:tc>
          <w:tcPr>
            <w:tcW w:type="dxa" w:w="3000"/>
            <w:tcMar>
              <w:top w:type="dxa" w:w="80"/>
              <w:left w:type="dxa" w:w="100"/>
              <w:bottom w:type="dxa" w:w="80"/>
              <w:right w:type="dxa" w:w="100"/>
            </w:tcMar>
            <w:vAlign w:val="top"/>
          </w:tcPr>
          <w:p>
            <w:pPr>
              <w:spacing w:after="60"/>
            </w:pPr>
            <w:r>
              <w:t xml:space="preserve">Employee commits fraud, investors sue for negligent supervision</w:t>
            </w:r>
          </w:p>
        </w:tc>
        <w:tc>
          <w:tcPr>
            <w:tcW w:type="dxa" w:w="3300"/>
            <w:tcMar>
              <w:top w:type="dxa" w:w="80"/>
              <w:left w:type="dxa" w:w="100"/>
              <w:bottom w:type="dxa" w:w="80"/>
              <w:right w:type="dxa" w:w="100"/>
            </w:tcMar>
            <w:vAlign w:val="top"/>
          </w:tcPr>
          <w:p>
            <w:pPr>
              <w:spacing w:after="60"/>
            </w:pPr>
            <w:r>
              <w:t xml:space="preserve">Two policies respond. Allocation disputes between PI and D&amp;O insurers. Two excesses.</w:t>
            </w:r>
          </w:p>
        </w:tc>
        <w:tc>
          <w:tcPr>
            <w:tcW w:type="dxa" w:w="3300"/>
            <w:tcMar>
              <w:top w:type="dxa" w:w="80"/>
              <w:left w:type="dxa" w:w="100"/>
              <w:bottom w:type="dxa" w:w="80"/>
              <w:right w:type="dxa" w:w="100"/>
            </w:tcMar>
            <w:vAlign w:val="top"/>
          </w:tcPr>
          <w:p>
            <w:pPr>
              <w:spacing w:after="60"/>
            </w:pPr>
            <w:r>
              <w:t xml:space="preserve">One policy. One claims team. One excess. Clear cross-section application (clause 6.6).</w:t>
            </w:r>
          </w:p>
        </w:tc>
      </w:tr>
      <w:tr>
        <w:trPr>
          <w:cantSplit/>
        </w:trPr>
        <w:tc>
          <w:tcPr>
            <w:tcW w:type="dxa" w:w="3000"/>
            <w:tcMar>
              <w:top w:type="dxa" w:w="80"/>
              <w:left w:type="dxa" w:w="100"/>
              <w:bottom w:type="dxa" w:w="80"/>
              <w:right w:type="dxa" w:w="100"/>
            </w:tcMar>
            <w:vAlign w:val="top"/>
          </w:tcPr>
          <w:p>
            <w:pPr>
              <w:spacing w:after="60"/>
            </w:pPr>
            <w:r>
              <w:t xml:space="preserve">ASIC investigates your compliance. Is it PI or D&amp;O?</w:t>
            </w:r>
          </w:p>
        </w:tc>
        <w:tc>
          <w:tcPr>
            <w:tcW w:type="dxa" w:w="3300"/>
            <w:tcMar>
              <w:top w:type="dxa" w:w="80"/>
              <w:left w:type="dxa" w:w="100"/>
              <w:bottom w:type="dxa" w:w="80"/>
              <w:right w:type="dxa" w:w="100"/>
            </w:tcMar>
            <w:vAlign w:val="top"/>
          </w:tcPr>
          <w:p>
            <w:pPr>
              <w:spacing w:after="60"/>
            </w:pPr>
            <w:r>
              <w:t xml:space="preserve">Coverage depends on how the claim is characterised. Risk of gap.</w:t>
            </w:r>
          </w:p>
        </w:tc>
        <w:tc>
          <w:tcPr>
            <w:tcW w:type="dxa" w:w="3300"/>
            <w:tcMar>
              <w:top w:type="dxa" w:w="80"/>
              <w:left w:type="dxa" w:w="100"/>
              <w:bottom w:type="dxa" w:w="80"/>
              <w:right w:type="dxa" w:w="100"/>
            </w:tcMar>
            <w:vAlign w:val="top"/>
          </w:tcPr>
          <w:p>
            <w:pPr>
              <w:spacing w:after="60"/>
            </w:pPr>
            <w:r>
              <w:t xml:space="preserve">Section 2 covers regulatory proceedings regardless of characterisation.</w:t>
            </w:r>
          </w:p>
        </w:tc>
      </w:tr>
      <w:tr>
        <w:trPr>
          <w:cantSplit/>
        </w:trPr>
        <w:tc>
          <w:tcPr>
            <w:tcW w:type="dxa" w:w="3000"/>
            <w:tcMar>
              <w:top w:type="dxa" w:w="80"/>
              <w:left w:type="dxa" w:w="100"/>
              <w:bottom w:type="dxa" w:w="80"/>
              <w:right w:type="dxa" w:w="100"/>
            </w:tcMar>
            <w:vAlign w:val="top"/>
          </w:tcPr>
          <w:p>
            <w:pPr>
              <w:spacing w:after="60"/>
            </w:pPr>
            <w:r>
              <w:t xml:space="preserve">Portfolio manager deliberately misallocates trades. Is it crime or PI?</w:t>
            </w:r>
          </w:p>
        </w:tc>
        <w:tc>
          <w:tcPr>
            <w:tcW w:type="dxa" w:w="3300"/>
            <w:tcMar>
              <w:top w:type="dxa" w:w="80"/>
              <w:left w:type="dxa" w:w="100"/>
              <w:bottom w:type="dxa" w:w="80"/>
              <w:right w:type="dxa" w:w="100"/>
            </w:tcMar>
            <w:vAlign w:val="top"/>
          </w:tcPr>
          <w:p>
            <w:pPr>
              <w:spacing w:after="60"/>
            </w:pPr>
            <w:r>
              <w:t xml:space="preserve">Crime insurer says it's a PI claim (professional services). PI insurer says it's crime (dishonest act).</w:t>
            </w:r>
          </w:p>
        </w:tc>
        <w:tc>
          <w:tcPr>
            <w:tcW w:type="dxa" w:w="3300"/>
            <w:tcMar>
              <w:top w:type="dxa" w:w="80"/>
              <w:left w:type="dxa" w:w="100"/>
              <w:bottom w:type="dxa" w:w="80"/>
              <w:right w:type="dxa" w:w="100"/>
            </w:tcMar>
            <w:vAlign w:val="top"/>
          </w:tcPr>
          <w:p>
            <w:pPr>
              <w:spacing w:after="60"/>
            </w:pPr>
            <w:r>
              <w:t xml:space="preserve">Section 4 covers the theft. Section 2 covers the investor's negligent supervision claim. Both respond.</w:t>
            </w:r>
          </w:p>
        </w:tc>
      </w:tr>
      <w:tr>
        <w:trPr>
          <w:cantSplit/>
        </w:trPr>
        <w:tc>
          <w:tcPr>
            <w:tcW w:type="dxa" w:w="3000"/>
            <w:tcMar>
              <w:top w:type="dxa" w:w="80"/>
              <w:left w:type="dxa" w:w="100"/>
              <w:bottom w:type="dxa" w:w="80"/>
              <w:right w:type="dxa" w:w="100"/>
            </w:tcMar>
            <w:vAlign w:val="top"/>
          </w:tcPr>
          <w:p>
            <w:pPr>
              <w:spacing w:after="60"/>
            </w:pPr>
            <w:r>
              <w:t xml:space="preserve">AFCA complaint about advice quality. Who pays?</w:t>
            </w:r>
          </w:p>
        </w:tc>
        <w:tc>
          <w:tcPr>
            <w:tcW w:type="dxa" w:w="3300"/>
            <w:tcMar>
              <w:top w:type="dxa" w:w="80"/>
              <w:left w:type="dxa" w:w="100"/>
              <w:bottom w:type="dxa" w:w="80"/>
              <w:right w:type="dxa" w:w="100"/>
            </w:tcMar>
            <w:vAlign w:val="top"/>
          </w:tcPr>
          <w:p>
            <w:pPr>
              <w:spacing w:after="60"/>
            </w:pPr>
            <w:r>
              <w:t xml:space="preserve">May fall between PI and D&amp;O.</w:t>
            </w:r>
          </w:p>
        </w:tc>
        <w:tc>
          <w:tcPr>
            <w:tcW w:type="dxa" w:w="3300"/>
            <w:tcMar>
              <w:top w:type="dxa" w:w="80"/>
              <w:left w:type="dxa" w:w="100"/>
              <w:bottom w:type="dxa" w:w="80"/>
              <w:right w:type="dxa" w:w="100"/>
            </w:tcMar>
            <w:vAlign w:val="top"/>
          </w:tcPr>
          <w:p>
            <w:pPr>
              <w:spacing w:after="60"/>
            </w:pPr>
            <w:r>
              <w:t xml:space="preserve">Clause 2.3 explicitly covers AFCA complaints.</w:t>
            </w:r>
          </w:p>
        </w:tc>
      </w:tr>
    </w:tbl>
    <w:p>
      <w:pPr>
        <w:spacing w:after="120"/>
      </w:pPr>
    </w:p>
    <w:p>
      <w:pPr>
        <w:pStyle w:val="Heading2"/>
        <w:spacing w:after="120" w:before="240"/>
      </w:pPr>
      <w:r>
        <w:t xml:space="preserve">Key regulatory obligations for investment managers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4000"/>
      </w:tblGrid>
      <w:tr>
        <w:trPr>
          <w:cantSplit/>
          <w:tblHeader/>
        </w:trPr>
        <w:tc>
          <w:tcPr>
            <w:tcW w:type="dxa" w:w="2800"/>
            <w:shd w:fill="1B2A4A" w:val="clear"/>
            <w:tcMar>
              <w:top w:type="dxa" w:w="80"/>
              <w:left w:type="dxa" w:w="100"/>
              <w:bottom w:type="dxa" w:w="80"/>
              <w:right w:type="dxa" w:w="100"/>
            </w:tcMar>
          </w:tcPr>
          <w:p>
            <w:r>
              <w:rPr>
                <w:b/>
                <w:bCs/>
                <w:color w:val="4A453F"/>
              </w:rPr>
              <w:t xml:space="preserve">Obligation</w:t>
            </w:r>
          </w:p>
        </w:tc>
        <w:tc>
          <w:tcPr>
            <w:tcW w:type="dxa" w:w="2800"/>
            <w:shd w:fill="1B2A4A" w:val="clear"/>
            <w:tcMar>
              <w:top w:type="dxa" w:w="80"/>
              <w:left w:type="dxa" w:w="100"/>
              <w:bottom w:type="dxa" w:w="80"/>
              <w:right w:type="dxa" w:w="100"/>
            </w:tcMar>
          </w:tcPr>
          <w:p>
            <w:r>
              <w:rPr>
                <w:b/>
                <w:bCs/>
                <w:color w:val="4A453F"/>
              </w:rPr>
              <w:t xml:space="preserve">Source</w:t>
            </w:r>
          </w:p>
        </w:tc>
        <w:tc>
          <w:tcPr>
            <w:tcW w:type="dxa" w:w="4000"/>
            <w:shd w:fill="1B2A4A" w:val="clear"/>
            <w:tcMar>
              <w:top w:type="dxa" w:w="80"/>
              <w:left w:type="dxa" w:w="100"/>
              <w:bottom w:type="dxa" w:w="80"/>
              <w:right w:type="dxa" w:w="100"/>
            </w:tcMar>
          </w:tcPr>
          <w:p>
            <w:r>
              <w:rPr>
                <w:b/>
                <w:bCs/>
                <w:color w:val="4A453F"/>
              </w:rPr>
              <w:t xml:space="preserve">How this policy helps</w:t>
            </w:r>
          </w:p>
        </w:tc>
      </w:tr>
      <w:tr>
        <w:trPr>
          <w:cantSplit/>
        </w:trPr>
        <w:tc>
          <w:tcPr>
            <w:tcW w:type="dxa" w:w="2800"/>
            <w:tcMar>
              <w:top w:type="dxa" w:w="80"/>
              <w:left w:type="dxa" w:w="100"/>
              <w:bottom w:type="dxa" w:w="80"/>
              <w:right w:type="dxa" w:w="100"/>
            </w:tcMar>
            <w:vAlign w:val="top"/>
          </w:tcPr>
          <w:p>
            <w:pPr>
              <w:spacing w:after="60"/>
            </w:pPr>
            <w:r>
              <w:t xml:space="preserve">Best interests duty</w:t>
            </w:r>
          </w:p>
        </w:tc>
        <w:tc>
          <w:tcPr>
            <w:tcW w:type="dxa" w:w="2800"/>
            <w:tcMar>
              <w:top w:type="dxa" w:w="80"/>
              <w:left w:type="dxa" w:w="100"/>
              <w:bottom w:type="dxa" w:w="80"/>
              <w:right w:type="dxa" w:w="100"/>
            </w:tcMar>
            <w:vAlign w:val="top"/>
          </w:tcPr>
          <w:p>
            <w:pPr>
              <w:spacing w:after="60"/>
            </w:pPr>
            <w:r>
              <w:t xml:space="preserve">s 961B Corporations Act</w:t>
            </w:r>
          </w:p>
        </w:tc>
        <w:tc>
          <w:tcPr>
            <w:tcW w:type="dxa" w:w="4000"/>
            <w:tcMar>
              <w:top w:type="dxa" w:w="80"/>
              <w:left w:type="dxa" w:w="100"/>
              <w:bottom w:type="dxa" w:w="80"/>
              <w:right w:type="dxa" w:w="100"/>
            </w:tcMar>
            <w:vAlign w:val="top"/>
          </w:tcPr>
          <w:p>
            <w:pPr>
              <w:spacing w:after="60"/>
            </w:pPr>
            <w:r>
              <w:t xml:space="preserve">Section 2 covers claims alleging breach</w:t>
            </w:r>
          </w:p>
        </w:tc>
      </w:tr>
      <w:tr>
        <w:trPr>
          <w:cantSplit/>
        </w:trPr>
        <w:tc>
          <w:tcPr>
            <w:tcW w:type="dxa" w:w="2800"/>
            <w:tcMar>
              <w:top w:type="dxa" w:w="80"/>
              <w:left w:type="dxa" w:w="100"/>
              <w:bottom w:type="dxa" w:w="80"/>
              <w:right w:type="dxa" w:w="100"/>
            </w:tcMar>
            <w:vAlign w:val="top"/>
          </w:tcPr>
          <w:p>
            <w:pPr>
              <w:spacing w:after="60"/>
            </w:pPr>
            <w:r>
              <w:t xml:space="preserve">Responsible entity duties</w:t>
            </w:r>
          </w:p>
        </w:tc>
        <w:tc>
          <w:tcPr>
            <w:tcW w:type="dxa" w:w="2800"/>
            <w:tcMar>
              <w:top w:type="dxa" w:w="80"/>
              <w:left w:type="dxa" w:w="100"/>
              <w:bottom w:type="dxa" w:w="80"/>
              <w:right w:type="dxa" w:w="100"/>
            </w:tcMar>
            <w:vAlign w:val="top"/>
          </w:tcPr>
          <w:p>
            <w:pPr>
              <w:spacing w:after="60"/>
            </w:pPr>
            <w:r>
              <w:t xml:space="preserve">Chapter 5C Corporations Act</w:t>
            </w:r>
          </w:p>
        </w:tc>
        <w:tc>
          <w:tcPr>
            <w:tcW w:type="dxa" w:w="4000"/>
            <w:tcMar>
              <w:top w:type="dxa" w:w="80"/>
              <w:left w:type="dxa" w:w="100"/>
              <w:bottom w:type="dxa" w:w="80"/>
              <w:right w:type="dxa" w:w="100"/>
            </w:tcMar>
            <w:vAlign w:val="top"/>
          </w:tcPr>
          <w:p>
            <w:pPr>
              <w:spacing w:after="60"/>
            </w:pPr>
            <w:r>
              <w:t xml:space="preserve">Section 2 — fiduciary duty cover</w:t>
            </w:r>
          </w:p>
        </w:tc>
      </w:tr>
      <w:tr>
        <w:trPr>
          <w:cantSplit/>
        </w:trPr>
        <w:tc>
          <w:tcPr>
            <w:tcW w:type="dxa" w:w="2800"/>
            <w:tcMar>
              <w:top w:type="dxa" w:w="80"/>
              <w:left w:type="dxa" w:w="100"/>
              <w:bottom w:type="dxa" w:w="80"/>
              <w:right w:type="dxa" w:w="100"/>
            </w:tcMar>
            <w:vAlign w:val="top"/>
          </w:tcPr>
          <w:p>
            <w:pPr>
              <w:spacing w:after="60"/>
            </w:pPr>
            <w:r>
              <w:t xml:space="preserve">Best financial interests (super)</w:t>
            </w:r>
          </w:p>
        </w:tc>
        <w:tc>
          <w:tcPr>
            <w:tcW w:type="dxa" w:w="2800"/>
            <w:tcMar>
              <w:top w:type="dxa" w:w="80"/>
              <w:left w:type="dxa" w:w="100"/>
              <w:bottom w:type="dxa" w:w="80"/>
              <w:right w:type="dxa" w:w="100"/>
            </w:tcMar>
            <w:vAlign w:val="top"/>
          </w:tcPr>
          <w:p>
            <w:pPr>
              <w:spacing w:after="60"/>
            </w:pPr>
            <w:r>
              <w:t xml:space="preserve">s 52(2)(c) SIS Act</w:t>
            </w:r>
          </w:p>
        </w:tc>
        <w:tc>
          <w:tcPr>
            <w:tcW w:type="dxa" w:w="4000"/>
            <w:tcMar>
              <w:top w:type="dxa" w:w="80"/>
              <w:left w:type="dxa" w:w="100"/>
              <w:bottom w:type="dxa" w:w="80"/>
              <w:right w:type="dxa" w:w="100"/>
            </w:tcMar>
            <w:vAlign w:val="top"/>
          </w:tcPr>
          <w:p>
            <w:pPr>
              <w:spacing w:after="60"/>
            </w:pPr>
            <w:r>
              <w:t xml:space="preserve">Clause 2.1(vii) — express coverage</w:t>
            </w:r>
          </w:p>
        </w:tc>
      </w:tr>
      <w:tr>
        <w:trPr>
          <w:cantSplit/>
        </w:trPr>
        <w:tc>
          <w:tcPr>
            <w:tcW w:type="dxa" w:w="2800"/>
            <w:tcMar>
              <w:top w:type="dxa" w:w="80"/>
              <w:left w:type="dxa" w:w="100"/>
              <w:bottom w:type="dxa" w:w="80"/>
              <w:right w:type="dxa" w:w="100"/>
            </w:tcMar>
            <w:vAlign w:val="top"/>
          </w:tcPr>
          <w:p>
            <w:pPr>
              <w:spacing w:after="60"/>
            </w:pPr>
            <w:r>
              <w:t xml:space="preserve">Design and distribution</w:t>
            </w:r>
          </w:p>
        </w:tc>
        <w:tc>
          <w:tcPr>
            <w:tcW w:type="dxa" w:w="2800"/>
            <w:tcMar>
              <w:top w:type="dxa" w:w="80"/>
              <w:left w:type="dxa" w:w="100"/>
              <w:bottom w:type="dxa" w:w="80"/>
              <w:right w:type="dxa" w:w="100"/>
            </w:tcMar>
            <w:vAlign w:val="top"/>
          </w:tcPr>
          <w:p>
            <w:pPr>
              <w:spacing w:after="60"/>
            </w:pPr>
            <w:r>
              <w:t xml:space="preserve">Part 7.8A Corporations Act</w:t>
            </w:r>
          </w:p>
        </w:tc>
        <w:tc>
          <w:tcPr>
            <w:tcW w:type="dxa" w:w="4000"/>
            <w:tcMar>
              <w:top w:type="dxa" w:w="80"/>
              <w:left w:type="dxa" w:w="100"/>
              <w:bottom w:type="dxa" w:w="80"/>
              <w:right w:type="dxa" w:w="100"/>
            </w:tcMar>
            <w:vAlign w:val="top"/>
          </w:tcPr>
          <w:p>
            <w:pPr>
              <w:spacing w:after="60"/>
            </w:pPr>
            <w:r>
              <w:t xml:space="preserve">Section 2 — DDO coverage including ASIC enforcement</w:t>
            </w:r>
          </w:p>
        </w:tc>
      </w:tr>
      <w:tr>
        <w:trPr>
          <w:cantSplit/>
        </w:trPr>
        <w:tc>
          <w:tcPr>
            <w:tcW w:type="dxa" w:w="2800"/>
            <w:tcMar>
              <w:top w:type="dxa" w:w="80"/>
              <w:left w:type="dxa" w:w="100"/>
              <w:bottom w:type="dxa" w:w="80"/>
              <w:right w:type="dxa" w:w="100"/>
            </w:tcMar>
            <w:vAlign w:val="top"/>
          </w:tcPr>
          <w:p>
            <w:pPr>
              <w:spacing w:after="60"/>
            </w:pPr>
            <w:r>
              <w:t xml:space="preserve">FAR accountability</w:t>
            </w:r>
          </w:p>
        </w:tc>
        <w:tc>
          <w:tcPr>
            <w:tcW w:type="dxa" w:w="2800"/>
            <w:tcMar>
              <w:top w:type="dxa" w:w="80"/>
              <w:left w:type="dxa" w:w="100"/>
              <w:bottom w:type="dxa" w:w="80"/>
              <w:right w:type="dxa" w:w="100"/>
            </w:tcMar>
            <w:vAlign w:val="top"/>
          </w:tcPr>
          <w:p>
            <w:pPr>
              <w:spacing w:after="60"/>
            </w:pPr>
            <w:r>
              <w:t xml:space="preserve">FAR Act 2023</w:t>
            </w:r>
          </w:p>
        </w:tc>
        <w:tc>
          <w:tcPr>
            <w:tcW w:type="dxa" w:w="4000"/>
            <w:tcMar>
              <w:top w:type="dxa" w:w="80"/>
              <w:left w:type="dxa" w:w="100"/>
              <w:bottom w:type="dxa" w:w="80"/>
              <w:right w:type="dxa" w:w="100"/>
            </w:tcMar>
            <w:vAlign w:val="top"/>
          </w:tcPr>
          <w:p>
            <w:pPr>
              <w:spacing w:after="60"/>
            </w:pPr>
            <w:r>
              <w:t xml:space="preserve">Clause 3.6 — FAR proceeding costs + deferred remuneration</w:t>
            </w:r>
          </w:p>
        </w:tc>
      </w:tr>
      <w:tr>
        <w:trPr>
          <w:cantSplit/>
        </w:trPr>
        <w:tc>
          <w:tcPr>
            <w:tcW w:type="dxa" w:w="2800"/>
            <w:tcMar>
              <w:top w:type="dxa" w:w="80"/>
              <w:left w:type="dxa" w:w="100"/>
              <w:bottom w:type="dxa" w:w="80"/>
              <w:right w:type="dxa" w:w="100"/>
            </w:tcMar>
            <w:vAlign w:val="top"/>
          </w:tcPr>
          <w:p>
            <w:pPr>
              <w:spacing w:after="60"/>
            </w:pPr>
            <w:r>
              <w:t xml:space="preserve">AML/CTF compliance</w:t>
            </w:r>
          </w:p>
        </w:tc>
        <w:tc>
          <w:tcPr>
            <w:tcW w:type="dxa" w:w="2800"/>
            <w:tcMar>
              <w:top w:type="dxa" w:w="80"/>
              <w:left w:type="dxa" w:w="100"/>
              <w:bottom w:type="dxa" w:w="80"/>
              <w:right w:type="dxa" w:w="100"/>
            </w:tcMar>
            <w:vAlign w:val="top"/>
          </w:tcPr>
          <w:p>
            <w:pPr>
              <w:spacing w:after="60"/>
            </w:pPr>
            <w:r>
              <w:t xml:space="preserve">AML/CTF Act 2006</w:t>
            </w:r>
          </w:p>
        </w:tc>
        <w:tc>
          <w:tcPr>
            <w:tcW w:type="dxa" w:w="4000"/>
            <w:tcMar>
              <w:top w:type="dxa" w:w="80"/>
              <w:left w:type="dxa" w:w="100"/>
              <w:bottom w:type="dxa" w:w="80"/>
              <w:right w:type="dxa" w:w="100"/>
            </w:tcMar>
            <w:vAlign w:val="top"/>
          </w:tcPr>
          <w:p>
            <w:pPr>
              <w:spacing w:after="60"/>
            </w:pPr>
            <w:r>
              <w:t xml:space="preserve">Clause 2.1(ix) — AUSTRAC investigations</w:t>
            </w:r>
          </w:p>
        </w:tc>
      </w:tr>
      <w:tr>
        <w:trPr>
          <w:cantSplit/>
        </w:trPr>
        <w:tc>
          <w:tcPr>
            <w:tcW w:type="dxa" w:w="2800"/>
            <w:tcMar>
              <w:top w:type="dxa" w:w="80"/>
              <w:left w:type="dxa" w:w="100"/>
              <w:bottom w:type="dxa" w:w="80"/>
              <w:right w:type="dxa" w:w="100"/>
            </w:tcMar>
            <w:vAlign w:val="top"/>
          </w:tcPr>
          <w:p>
            <w:pPr>
              <w:spacing w:after="60"/>
            </w:pPr>
            <w:r>
              <w:t xml:space="preserve">Continuous disclosure (listed funds)</w:t>
            </w:r>
          </w:p>
        </w:tc>
        <w:tc>
          <w:tcPr>
            <w:tcW w:type="dxa" w:w="2800"/>
            <w:tcMar>
              <w:top w:type="dxa" w:w="80"/>
              <w:left w:type="dxa" w:w="100"/>
              <w:bottom w:type="dxa" w:w="80"/>
              <w:right w:type="dxa" w:w="100"/>
            </w:tcMar>
            <w:vAlign w:val="top"/>
          </w:tcPr>
          <w:p>
            <w:pPr>
              <w:spacing w:after="60"/>
            </w:pPr>
            <w:r>
              <w:t xml:space="preserve">ASX Listing Rules / s 674</w:t>
            </w:r>
          </w:p>
        </w:tc>
        <w:tc>
          <w:tcPr>
            <w:tcW w:type="dxa" w:w="4000"/>
            <w:tcMar>
              <w:top w:type="dxa" w:w="80"/>
              <w:left w:type="dxa" w:w="100"/>
              <w:bottom w:type="dxa" w:w="80"/>
              <w:right w:type="dxa" w:w="100"/>
            </w:tcMar>
            <w:vAlign w:val="top"/>
          </w:tcPr>
          <w:p>
            <w:pPr>
              <w:spacing w:after="60"/>
            </w:pPr>
            <w:r>
              <w:t xml:space="preserve">Section 2 — continuous disclosure breach</w:t>
            </w:r>
          </w:p>
        </w:tc>
      </w:tr>
      <w:tr>
        <w:trPr>
          <w:cantSplit/>
        </w:trPr>
        <w:tc>
          <w:tcPr>
            <w:tcW w:type="dxa" w:w="2800"/>
            <w:tcMar>
              <w:top w:type="dxa" w:w="80"/>
              <w:left w:type="dxa" w:w="100"/>
              <w:bottom w:type="dxa" w:w="80"/>
              <w:right w:type="dxa" w:w="100"/>
            </w:tcMar>
            <w:vAlign w:val="top"/>
          </w:tcPr>
          <w:p>
            <w:pPr>
              <w:spacing w:after="60"/>
            </w:pPr>
            <w:r>
              <w:t xml:space="preserve">Unit pricing and valuations</w:t>
            </w:r>
          </w:p>
        </w:tc>
        <w:tc>
          <w:tcPr>
            <w:tcW w:type="dxa" w:w="2800"/>
            <w:tcMar>
              <w:top w:type="dxa" w:w="80"/>
              <w:left w:type="dxa" w:w="100"/>
              <w:bottom w:type="dxa" w:w="80"/>
              <w:right w:type="dxa" w:w="100"/>
            </w:tcMar>
            <w:vAlign w:val="top"/>
          </w:tcPr>
          <w:p>
            <w:pPr>
              <w:spacing w:after="60"/>
            </w:pPr>
            <w:r>
              <w:t xml:space="preserve">ASIC RG 134</w:t>
            </w:r>
          </w:p>
        </w:tc>
        <w:tc>
          <w:tcPr>
            <w:tcW w:type="dxa" w:w="4000"/>
            <w:tcMar>
              <w:top w:type="dxa" w:w="80"/>
              <w:left w:type="dxa" w:w="100"/>
              <w:bottom w:type="dxa" w:w="80"/>
              <w:right w:type="dxa" w:w="100"/>
            </w:tcMar>
            <w:vAlign w:val="top"/>
          </w:tcPr>
          <w:p>
            <w:pPr>
              <w:spacing w:after="60"/>
            </w:pPr>
            <w:r>
              <w:t xml:space="preserve">Section 2 — errors in unit pricing</w:t>
            </w:r>
          </w:p>
        </w:tc>
      </w:tr>
    </w:tbl>
    <w:p>
      <w:pPr>
        <w:pBdr>
          <w:bottom w:val="single" w:color="E2D9C8" w:sz="6" w:space="1"/>
        </w:pBdr>
        <w:spacing w:after="200" w:before="100"/>
      </w:pPr>
    </w:p>
    <w:p>
      <w:pPr>
        <w:pStyle w:val="Heading1"/>
        <w:spacing w:after="160" w:before="360"/>
      </w:pPr>
      <w:r>
        <w:t xml:space="preserve">Appendix B — Endorsement Library</w:t>
      </w:r>
    </w:p>
    <w:p>
      <w:pPr>
        <w:spacing w:after="120"/>
      </w:pPr>
      <w:r>
        <w:t xml:space="preserve">This endorsement library is compatible with base wording v1.1.x. Every endorsement below is either fully drafted for use, or is marked "Title reserved" if not yet available. Each endorsement amends the base clause(s) referenced against the current numbering in Sections 1–8 above; if the base wording is renumbered again, the endorsement library must be re-anchored.</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200"/>
        <w:gridCol w:w="8400"/>
      </w:tblGrid>
      <w:tr>
        <w:trPr>
          <w:cantSplit/>
          <w:tblHeader/>
        </w:trPr>
        <w:tc>
          <w:tcPr>
            <w:tcW w:type="dxa" w:w="1200"/>
            <w:shd w:fill="1B2A4A" w:val="clear"/>
            <w:tcMar>
              <w:top w:type="dxa" w:w="80"/>
              <w:left w:type="dxa" w:w="100"/>
              <w:bottom w:type="dxa" w:w="80"/>
              <w:right w:type="dxa" w:w="100"/>
            </w:tcMar>
          </w:tcPr>
          <w:p>
            <w:r>
              <w:rPr>
                <w:b/>
                <w:bCs/>
                <w:color w:val="4A453F"/>
              </w:rPr>
              <w:t xml:space="preserve">Code</w:t>
            </w:r>
          </w:p>
        </w:tc>
        <w:tc>
          <w:tcPr>
            <w:tcW w:type="dxa" w:w="8400"/>
            <w:shd w:fill="1B2A4A" w:val="clear"/>
            <w:tcMar>
              <w:top w:type="dxa" w:w="80"/>
              <w:left w:type="dxa" w:w="100"/>
              <w:bottom w:type="dxa" w:w="80"/>
              <w:right w:type="dxa" w:w="100"/>
            </w:tcMar>
          </w:tcPr>
          <w:p>
            <w:r>
              <w:rPr>
                <w:b/>
                <w:bCs/>
                <w:color w:val="4A453F"/>
              </w:rPr>
              <w:t xml:space="preserve">Endorsement</w:t>
            </w:r>
          </w:p>
        </w:tc>
      </w:tr>
      <w:tr>
        <w:trPr>
          <w:cantSplit/>
        </w:trPr>
        <w:tc>
          <w:tcPr>
            <w:tcW w:type="dxa" w:w="1200"/>
            <w:tcMar>
              <w:top w:type="dxa" w:w="80"/>
              <w:left w:type="dxa" w:w="100"/>
              <w:bottom w:type="dxa" w:w="80"/>
              <w:right w:type="dxa" w:w="100"/>
            </w:tcMar>
            <w:vAlign w:val="top"/>
          </w:tcPr>
          <w:p>
            <w:r>
              <w:rPr>
                <w:b/>
                <w:bCs/>
              </w:rPr>
              <w:t xml:space="preserve">E01</w:t>
            </w:r>
          </w:p>
        </w:tc>
        <w:tc>
          <w:tcPr>
            <w:tcW w:type="dxa" w:w="8400"/>
            <w:tcMar>
              <w:top w:type="dxa" w:w="80"/>
              <w:left w:type="dxa" w:w="100"/>
              <w:bottom w:type="dxa" w:w="80"/>
              <w:right w:type="dxa" w:w="100"/>
            </w:tcMar>
            <w:vAlign w:val="top"/>
          </w:tcPr>
          <w:p>
            <w:pPr>
              <w:spacing w:after="60"/>
            </w:pPr>
            <w:r>
              <w:t xml:space="preserve">US / Canada jurisdiction extension — lifts exclusion 5.13.</w:t>
            </w:r>
          </w:p>
        </w:tc>
      </w:tr>
      <w:tr>
        <w:trPr>
          <w:cantSplit/>
        </w:trPr>
        <w:tc>
          <w:tcPr>
            <w:tcW w:type="dxa" w:w="1200"/>
            <w:tcMar>
              <w:top w:type="dxa" w:w="80"/>
              <w:left w:type="dxa" w:w="100"/>
              <w:bottom w:type="dxa" w:w="80"/>
              <w:right w:type="dxa" w:w="100"/>
            </w:tcMar>
            <w:vAlign w:val="top"/>
          </w:tcPr>
          <w:p>
            <w:r>
              <w:rPr>
                <w:b/>
                <w:bCs/>
              </w:rPr>
              <w:t xml:space="preserve">E02</w:t>
            </w:r>
          </w:p>
        </w:tc>
        <w:tc>
          <w:tcPr>
            <w:tcW w:type="dxa" w:w="8400"/>
            <w:tcMar>
              <w:top w:type="dxa" w:w="80"/>
              <w:left w:type="dxa" w:w="100"/>
              <w:bottom w:type="dxa" w:w="80"/>
              <w:right w:type="dxa" w:w="100"/>
            </w:tcMar>
            <w:vAlign w:val="top"/>
          </w:tcPr>
          <w:p>
            <w:pPr>
              <w:spacing w:after="60"/>
            </w:pPr>
            <w:r>
              <w:t xml:space="preserve">Superannuation trustee — enhanced (expanded SIS Act coverage, MySuper obligations, choice product heatmap, stapling).</w:t>
            </w:r>
          </w:p>
        </w:tc>
      </w:tr>
      <w:tr>
        <w:trPr>
          <w:cantSplit/>
        </w:trPr>
        <w:tc>
          <w:tcPr>
            <w:tcW w:type="dxa" w:w="1200"/>
            <w:tcMar>
              <w:top w:type="dxa" w:w="80"/>
              <w:left w:type="dxa" w:w="100"/>
              <w:bottom w:type="dxa" w:w="80"/>
              <w:right w:type="dxa" w:w="100"/>
            </w:tcMar>
            <w:vAlign w:val="top"/>
          </w:tcPr>
          <w:p>
            <w:r>
              <w:rPr>
                <w:b/>
                <w:bCs/>
              </w:rPr>
              <w:t xml:space="preserve">E03</w:t>
            </w:r>
          </w:p>
        </w:tc>
        <w:tc>
          <w:tcPr>
            <w:tcW w:type="dxa" w:w="8400"/>
            <w:tcMar>
              <w:top w:type="dxa" w:w="80"/>
              <w:left w:type="dxa" w:w="100"/>
              <w:bottom w:type="dxa" w:w="80"/>
              <w:right w:type="dxa" w:w="100"/>
            </w:tcMar>
            <w:vAlign w:val="top"/>
          </w:tcPr>
          <w:p>
            <w:pPr>
              <w:spacing w:after="60"/>
            </w:pPr>
            <w:r>
              <w:t xml:space="preserve">Responsible entity — enhanced (scheme compliance, continuous disclosure for listed trusts, related party transactions).</w:t>
            </w:r>
          </w:p>
        </w:tc>
      </w:tr>
      <w:tr>
        <w:trPr>
          <w:cantSplit/>
        </w:trPr>
        <w:tc>
          <w:tcPr>
            <w:tcW w:type="dxa" w:w="1200"/>
            <w:tcMar>
              <w:top w:type="dxa" w:w="80"/>
              <w:left w:type="dxa" w:w="100"/>
              <w:bottom w:type="dxa" w:w="80"/>
              <w:right w:type="dxa" w:w="100"/>
            </w:tcMar>
            <w:vAlign w:val="top"/>
          </w:tcPr>
          <w:p>
            <w:r>
              <w:rPr>
                <w:b/>
                <w:bCs/>
              </w:rPr>
              <w:t xml:space="preserve">E04</w:t>
            </w:r>
          </w:p>
        </w:tc>
        <w:tc>
          <w:tcPr>
            <w:tcW w:type="dxa" w:w="8400"/>
            <w:tcMar>
              <w:top w:type="dxa" w:w="80"/>
              <w:left w:type="dxa" w:w="100"/>
              <w:bottom w:type="dxa" w:w="80"/>
              <w:right w:type="dxa" w:w="100"/>
            </w:tcMar>
            <w:vAlign w:val="top"/>
          </w:tcPr>
          <w:p>
            <w:pPr>
              <w:spacing w:after="60"/>
            </w:pPr>
            <w:r>
              <w:t xml:space="preserve">Hedge fund / alternative strategies (performance fee clawback, side pocket disputes, gate and redemption suspension).</w:t>
            </w:r>
          </w:p>
        </w:tc>
      </w:tr>
      <w:tr>
        <w:trPr>
          <w:cantSplit/>
        </w:trPr>
        <w:tc>
          <w:tcPr>
            <w:tcW w:type="dxa" w:w="1200"/>
            <w:tcMar>
              <w:top w:type="dxa" w:w="80"/>
              <w:left w:type="dxa" w:w="100"/>
              <w:bottom w:type="dxa" w:w="80"/>
              <w:right w:type="dxa" w:w="100"/>
            </w:tcMar>
            <w:vAlign w:val="top"/>
          </w:tcPr>
          <w:p>
            <w:r>
              <w:rPr>
                <w:b/>
                <w:bCs/>
              </w:rPr>
              <w:t xml:space="preserve">E05</w:t>
            </w:r>
          </w:p>
        </w:tc>
        <w:tc>
          <w:tcPr>
            <w:tcW w:type="dxa" w:w="8400"/>
            <w:tcMar>
              <w:top w:type="dxa" w:w="80"/>
              <w:left w:type="dxa" w:w="100"/>
              <w:bottom w:type="dxa" w:w="80"/>
              <w:right w:type="dxa" w:w="100"/>
            </w:tcMar>
            <w:vAlign w:val="top"/>
          </w:tcPr>
          <w:p>
            <w:pPr>
              <w:spacing w:after="60"/>
            </w:pPr>
            <w:r>
              <w:t xml:space="preserve">Custodian failure — enhanced (insolvency of custodian, commingling of fund assets) — supplements clause 2.6.</w:t>
            </w:r>
          </w:p>
        </w:tc>
      </w:tr>
      <w:tr>
        <w:trPr>
          <w:cantSplit/>
        </w:trPr>
        <w:tc>
          <w:tcPr>
            <w:tcW w:type="dxa" w:w="1200"/>
            <w:tcMar>
              <w:top w:type="dxa" w:w="80"/>
              <w:left w:type="dxa" w:w="100"/>
              <w:bottom w:type="dxa" w:w="80"/>
              <w:right w:type="dxa" w:w="100"/>
            </w:tcMar>
            <w:vAlign w:val="top"/>
          </w:tcPr>
          <w:p>
            <w:r>
              <w:rPr>
                <w:b/>
                <w:bCs/>
              </w:rPr>
              <w:t xml:space="preserve">E06</w:t>
            </w:r>
          </w:p>
        </w:tc>
        <w:tc>
          <w:tcPr>
            <w:tcW w:type="dxa" w:w="8400"/>
            <w:tcMar>
              <w:top w:type="dxa" w:w="80"/>
              <w:left w:type="dxa" w:w="100"/>
              <w:bottom w:type="dxa" w:w="80"/>
              <w:right w:type="dxa" w:w="100"/>
            </w:tcMar>
            <w:vAlign w:val="top"/>
          </w:tcPr>
          <w:p>
            <w:pPr>
              <w:spacing w:after="60"/>
            </w:pPr>
            <w:r>
              <w:t xml:space="preserve">ESG / greenwashing (sustainability disclosures, climate-related financial disclosures, ASIC greenwashing enforcement).</w:t>
            </w:r>
          </w:p>
        </w:tc>
      </w:tr>
      <w:tr>
        <w:trPr>
          <w:cantSplit/>
        </w:trPr>
        <w:tc>
          <w:tcPr>
            <w:tcW w:type="dxa" w:w="1200"/>
            <w:tcMar>
              <w:top w:type="dxa" w:w="80"/>
              <w:left w:type="dxa" w:w="100"/>
              <w:bottom w:type="dxa" w:w="80"/>
              <w:right w:type="dxa" w:w="100"/>
            </w:tcMar>
            <w:vAlign w:val="top"/>
          </w:tcPr>
          <w:p>
            <w:r>
              <w:rPr>
                <w:b/>
                <w:bCs/>
              </w:rPr>
              <w:t xml:space="preserve">E07</w:t>
            </w:r>
          </w:p>
        </w:tc>
        <w:tc>
          <w:tcPr>
            <w:tcW w:type="dxa" w:w="8400"/>
            <w:tcMar>
              <w:top w:type="dxa" w:w="80"/>
              <w:left w:type="dxa" w:w="100"/>
              <w:bottom w:type="dxa" w:w="80"/>
              <w:right w:type="dxa" w:w="100"/>
            </w:tcMar>
            <w:vAlign w:val="top"/>
          </w:tcPr>
          <w:p>
            <w:pPr>
              <w:spacing w:after="60"/>
            </w:pPr>
            <w:r>
              <w:t xml:space="preserve">Defence costs in addition to the limit, rather than within it (varies clause 6.3).</w:t>
            </w:r>
          </w:p>
        </w:tc>
      </w:tr>
      <w:tr>
        <w:trPr>
          <w:cantSplit/>
        </w:trPr>
        <w:tc>
          <w:tcPr>
            <w:tcW w:type="dxa" w:w="1200"/>
            <w:tcMar>
              <w:top w:type="dxa" w:w="80"/>
              <w:left w:type="dxa" w:w="100"/>
              <w:bottom w:type="dxa" w:w="80"/>
              <w:right w:type="dxa" w:w="100"/>
            </w:tcMar>
            <w:vAlign w:val="top"/>
          </w:tcPr>
          <w:p>
            <w:r>
              <w:rPr>
                <w:b/>
                <w:bCs/>
              </w:rPr>
              <w:t xml:space="preserve">E08</w:t>
            </w:r>
          </w:p>
        </w:tc>
        <w:tc>
          <w:tcPr>
            <w:tcW w:type="dxa" w:w="8400"/>
            <w:tcMar>
              <w:top w:type="dxa" w:w="80"/>
              <w:left w:type="dxa" w:w="100"/>
              <w:bottom w:type="dxa" w:w="80"/>
              <w:right w:type="dxa" w:w="100"/>
            </w:tcMar>
            <w:vAlign w:val="top"/>
          </w:tcPr>
          <w:p>
            <w:pPr>
              <w:spacing w:after="60"/>
            </w:pPr>
            <w:r>
              <w:t xml:space="preserve">Extended Reporting Period, for the duration shown in the schedule (12 / 24 / 36 / 72 months) — Sections 2 and 3 (see clause 8.4).</w:t>
            </w:r>
          </w:p>
        </w:tc>
      </w:tr>
      <w:tr>
        <w:trPr>
          <w:cantSplit/>
        </w:trPr>
        <w:tc>
          <w:tcPr>
            <w:tcW w:type="dxa" w:w="1200"/>
            <w:tcMar>
              <w:top w:type="dxa" w:w="80"/>
              <w:left w:type="dxa" w:w="100"/>
              <w:bottom w:type="dxa" w:w="80"/>
              <w:right w:type="dxa" w:w="100"/>
            </w:tcMar>
            <w:vAlign w:val="top"/>
          </w:tcPr>
          <w:p>
            <w:r>
              <w:rPr>
                <w:b/>
                <w:bCs/>
              </w:rPr>
              <w:t xml:space="preserve">E09</w:t>
            </w:r>
          </w:p>
        </w:tc>
        <w:tc>
          <w:tcPr>
            <w:tcW w:type="dxa" w:w="8400"/>
            <w:tcMar>
              <w:top w:type="dxa" w:w="80"/>
              <w:left w:type="dxa" w:w="100"/>
              <w:bottom w:type="dxa" w:w="80"/>
              <w:right w:type="dxa" w:w="100"/>
            </w:tcMar>
            <w:vAlign w:val="top"/>
          </w:tcPr>
          <w:p>
            <w:pPr>
              <w:spacing w:after="60"/>
            </w:pPr>
            <w:r>
              <w:t xml:space="preserve">Run-off / tail following change of control or cessation of AFSL (entity-level; see clause 8.10 for fund-level wind-up run-off, which applies automatically without this endorsement).</w:t>
            </w:r>
          </w:p>
        </w:tc>
      </w:tr>
      <w:tr>
        <w:trPr>
          <w:cantSplit/>
        </w:trPr>
        <w:tc>
          <w:tcPr>
            <w:tcW w:type="dxa" w:w="1200"/>
            <w:tcMar>
              <w:top w:type="dxa" w:w="80"/>
              <w:left w:type="dxa" w:w="100"/>
              <w:bottom w:type="dxa" w:w="80"/>
              <w:right w:type="dxa" w:w="100"/>
            </w:tcMar>
            <w:vAlign w:val="top"/>
          </w:tcPr>
          <w:p>
            <w:r>
              <w:rPr>
                <w:b/>
                <w:bCs/>
              </w:rPr>
              <w:t xml:space="preserve">E10</w:t>
            </w:r>
          </w:p>
        </w:tc>
        <w:tc>
          <w:tcPr>
            <w:tcW w:type="dxa" w:w="8400"/>
            <w:tcMar>
              <w:top w:type="dxa" w:w="80"/>
              <w:left w:type="dxa" w:w="100"/>
              <w:bottom w:type="dxa" w:w="80"/>
              <w:right w:type="dxa" w:w="100"/>
            </w:tcMar>
            <w:vAlign w:val="top"/>
          </w:tcPr>
          <w:p>
            <w:pPr>
              <w:spacing w:after="60"/>
            </w:pPr>
            <w:r>
              <w:t xml:space="preserve">Prospectus / PDS liability — enhanced (capital raising for listed funds).</w:t>
            </w:r>
          </w:p>
        </w:tc>
      </w:tr>
      <w:tr>
        <w:trPr>
          <w:cantSplit/>
        </w:trPr>
        <w:tc>
          <w:tcPr>
            <w:tcW w:type="dxa" w:w="1200"/>
            <w:tcMar>
              <w:top w:type="dxa" w:w="80"/>
              <w:left w:type="dxa" w:w="100"/>
              <w:bottom w:type="dxa" w:w="80"/>
              <w:right w:type="dxa" w:w="100"/>
            </w:tcMar>
            <w:vAlign w:val="top"/>
          </w:tcPr>
          <w:p>
            <w:r>
              <w:rPr>
                <w:b/>
                <w:bCs/>
              </w:rPr>
              <w:t xml:space="preserve">E11</w:t>
            </w:r>
          </w:p>
        </w:tc>
        <w:tc>
          <w:tcPr>
            <w:tcW w:type="dxa" w:w="8400"/>
            <w:tcMar>
              <w:top w:type="dxa" w:w="80"/>
              <w:left w:type="dxa" w:w="100"/>
              <w:bottom w:type="dxa" w:w="80"/>
              <w:right w:type="dxa" w:w="100"/>
            </w:tcMar>
            <w:vAlign w:val="top"/>
          </w:tcPr>
          <w:p>
            <w:pPr>
              <w:spacing w:after="60"/>
            </w:pPr>
            <w:r>
              <w:t xml:space="preserve">Excess layer — attaches excess of the underlying limit shown in the schedule.</w:t>
            </w:r>
          </w:p>
        </w:tc>
      </w:tr>
      <w:tr>
        <w:trPr>
          <w:cantSplit/>
        </w:trPr>
        <w:tc>
          <w:tcPr>
            <w:tcW w:type="dxa" w:w="1200"/>
            <w:tcMar>
              <w:top w:type="dxa" w:w="80"/>
              <w:left w:type="dxa" w:w="100"/>
              <w:bottom w:type="dxa" w:w="80"/>
              <w:right w:type="dxa" w:w="100"/>
            </w:tcMar>
            <w:vAlign w:val="top"/>
          </w:tcPr>
          <w:p>
            <w:r>
              <w:rPr>
                <w:b/>
                <w:bCs/>
              </w:rPr>
              <w:t xml:space="preserve">E12</w:t>
            </w:r>
          </w:p>
        </w:tc>
        <w:tc>
          <w:tcPr>
            <w:tcW w:type="dxa" w:w="8400"/>
            <w:tcMar>
              <w:top w:type="dxa" w:w="80"/>
              <w:left w:type="dxa" w:w="100"/>
              <w:bottom w:type="dxa" w:w="80"/>
              <w:right w:type="dxa" w:w="100"/>
            </w:tcMar>
            <w:vAlign w:val="top"/>
          </w:tcPr>
          <w:p>
            <w:pPr>
              <w:spacing w:after="60"/>
            </w:pPr>
            <w:r>
              <w:t xml:space="preserve">Employment practices liability (adds an EPL section; reconciles with exclusion 5.14).</w:t>
            </w:r>
          </w:p>
        </w:tc>
      </w:tr>
      <w:tr>
        <w:trPr>
          <w:cantSplit/>
        </w:trPr>
        <w:tc>
          <w:tcPr>
            <w:tcW w:type="dxa" w:w="1200"/>
            <w:tcMar>
              <w:top w:type="dxa" w:w="80"/>
              <w:left w:type="dxa" w:w="100"/>
              <w:bottom w:type="dxa" w:w="80"/>
              <w:right w:type="dxa" w:w="100"/>
            </w:tcMar>
            <w:vAlign w:val="top"/>
          </w:tcPr>
          <w:p>
            <w:r>
              <w:rPr>
                <w:b/>
                <w:bCs/>
              </w:rPr>
              <w:t xml:space="preserve">E13</w:t>
            </w:r>
          </w:p>
        </w:tc>
        <w:tc>
          <w:tcPr>
            <w:tcW w:type="dxa" w:w="8400"/>
            <w:tcMar>
              <w:top w:type="dxa" w:w="80"/>
              <w:left w:type="dxa" w:w="100"/>
              <w:bottom w:type="dxa" w:w="80"/>
              <w:right w:type="dxa" w:w="100"/>
            </w:tcMar>
            <w:vAlign w:val="top"/>
          </w:tcPr>
          <w:p>
            <w:pPr>
              <w:spacing w:after="60"/>
            </w:pPr>
            <w:r>
              <w:t xml:space="preserve">Cryptocurrency / digital asset fund management — enhanced custody, wallet-security, and valuation terms for funds with material digital-asset exposure (supplements clause 4.12; base-form digital-asset cover applies without this endorsement).</w:t>
            </w:r>
          </w:p>
        </w:tc>
      </w:tr>
      <w:tr>
        <w:trPr>
          <w:cantSplit/>
        </w:trPr>
        <w:tc>
          <w:tcPr>
            <w:tcW w:type="dxa" w:w="1200"/>
            <w:tcMar>
              <w:top w:type="dxa" w:w="80"/>
              <w:left w:type="dxa" w:w="100"/>
              <w:bottom w:type="dxa" w:w="80"/>
              <w:right w:type="dxa" w:w="100"/>
            </w:tcMar>
            <w:vAlign w:val="top"/>
          </w:tcPr>
          <w:p>
            <w:r>
              <w:rPr>
                <w:b/>
                <w:bCs/>
              </w:rPr>
              <w:t xml:space="preserve">E14</w:t>
            </w:r>
          </w:p>
        </w:tc>
        <w:tc>
          <w:tcPr>
            <w:tcW w:type="dxa" w:w="8400"/>
            <w:tcMar>
              <w:top w:type="dxa" w:w="80"/>
              <w:left w:type="dxa" w:w="100"/>
              <w:bottom w:type="dxa" w:w="80"/>
              <w:right w:type="dxa" w:w="100"/>
            </w:tcMar>
            <w:vAlign w:val="top"/>
          </w:tcPr>
          <w:p>
            <w:pPr>
              <w:spacing w:after="60"/>
            </w:pPr>
            <w:r>
              <w:t xml:space="preserve">Side A standalone / DIC.</w:t>
            </w:r>
          </w:p>
        </w:tc>
      </w:tr>
    </w:tbl>
    <w:p>
      <w:pPr>
        <w:pBdr>
          <w:bottom w:val="single" w:color="E2D9C8" w:sz="6" w:space="1"/>
        </w:pBdr>
        <w:spacing w:after="200" w:before="100"/>
      </w:pPr>
    </w:p>
    <w:p>
      <w:pPr>
        <w:pStyle w:val="Heading1"/>
        <w:spacing w:after="160" w:before="360"/>
      </w:pPr>
      <w:r>
        <w:t xml:space="preserve">Licence, Provenance, and Use</w:t>
      </w:r>
    </w:p>
    <w:p>
      <w:pPr>
        <w:spacing w:after="120"/>
      </w:pPr>
      <w:r>
        <w:t xml:space="preserve">Meridian Commons — Open Source Insurance Wording. This wording's TEXT is licensed under Creative Commons BY 4.0. The licence applies to the wording text only: the Cuttleflow name, the Meridian name, the bearing mark, and other Cuttleflow brand assets are excluded from the licence and may not be used by adopters without separate permission. An adopter's own schedules and endorsements built on top of this wording are that adopter's work product; CC BY 4.0 requires only that you attribute the wording text you use.</w:t>
      </w:r>
    </w:p>
    <w:p>
      <w:pPr>
        <w:spacing w:after="120"/>
      </w:pPr>
      <w:r>
        <w:t xml:space="preserve">Document ref: 2026/IMI/0001 · v1.2.0-DRAFT · July 2026. The version of this wording current at a policy's inception governs that policy for its duration.</w:t>
      </w:r>
    </w:p>
    <w:p>
      <w:pPr>
        <w:spacing w:after="120"/>
      </w:pPr>
      <w:r>
        <w:t xml:space="preserve">Adopters must obtain their own legal advice before use, must confirm use is approved by their capacity provider, and must not represent this wording as reviewed or approved by Cuttleflow Systems' Wording Partner for their use — the Wording Partner's review letter runs to Cuttleflow Systems Pty Ltd only.</w:t>
      </w:r>
    </w:p>
    <w:p>
      <w:pPr>
        <w:spacing w:after="120"/>
      </w:pPr>
      <w:r>
        <w:t xml:space="preserve">Designed for the Australian market under the Insurance Contracts Act 1984 (Cth), Corporations Act 2001 (Cth), and ASIC Act 2001 (Cth). Users are responsible for their own legal review, regulatory compliance, and reinsurance alignment.</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D9C8" w:sz="4" w:space="4"/>
      </w:pBdr>
      <w:jc w:val="center"/>
    </w:pPr>
    <w:r>
      <w:rPr>
        <w:color w:val="1C1915"/>
        <w:sz w:val="16"/>
        <w:szCs w:val="16"/>
      </w:rPr>
      <w:t xml:space="preserve">DRAFT — SUBJECT TO LEGAL REVIEW — NOT FOR USE · 2026/IMI/0001 · v1.2.0-DRAFT · Page </w:t>
    </w:r>
    <w:r>
      <w:rPr>
        <w:color w:val="1C1915"/>
        <w:sz w:val="16"/>
        <w:szCs w:val="16"/>
      </w:rPr>
      <w:fldChar w:fldCharType="begin"/>
      <w:instrText xml:space="preserve">PAGE</w:instrText>
      <w:fldChar w:fldCharType="separate"/>
      <w:fldChar w:fldCharType="end"/>
    </w:r>
    <w:r>
      <w:rPr>
        <w:color w:val="1C1915"/>
        <w:sz w:val="16"/>
        <w:szCs w:val="16"/>
      </w:rPr>
      <w:t xml:space="preserve"> of </w:t>
    </w:r>
    <w:r>
      <w:rPr>
        <w:color w:val="1C191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D9C8" w:sz="4" w:space="4"/>
      </w:pBdr>
      <w:jc w:val="center"/>
    </w:pPr>
    <w:r>
      <w:rPr>
        <w:b/>
        <w:bCs/>
        <w:color w:val="1C1915"/>
        <w:sz w:val="16"/>
        <w:szCs w:val="16"/>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Managers Indemnity Insurance — Policy Wording v1.1.0-DRAFT</dc:title>
  <dc:creator>Cuttleflow Systems Pty Ltd</dc:creator>
  <dc:description>Meridian Commons — Open Source Insurance Wording. DRAFT — SUBJECT TO LEGAL REVIEW — NOT FOR USE.</dc:description>
  <cp:lastModifiedBy>Un-named</cp:lastModifiedBy>
  <cp:revision>1</cp:revision>
  <dcterms:created xsi:type="dcterms:W3CDTF">2026-07-18T01:34:21.188Z</dcterms:created>
  <dcterms:modified xsi:type="dcterms:W3CDTF">2026-07-18T01:34:21.189Z</dcterms:modified>
</cp:coreProperties>
</file>

<file path=docProps/custom.xml><?xml version="1.0" encoding="utf-8"?>
<Properties xmlns="http://schemas.openxmlformats.org/officeDocument/2006/custom-properties" xmlns:vt="http://schemas.openxmlformats.org/officeDocument/2006/docPropsVTypes"/>
</file>