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FINANCIAL SERVICES PROFESSIONAL INDEMNITY INSURANCE · CREDIT INTERMEDIARIES</w:t>
      </w:r>
    </w:p>
    <w:p>
      <w:r>
        <w:rPr>
          <w:rFonts w:ascii="Georgia" w:hAnsi="Georgia" w:eastAsia="Georgia"/>
          <w:b/>
          <w:i w:val="0"/>
          <w:sz w:val="60"/>
        </w:rPr>
        <w:t>Credit Intermediaries Professional Indemnity Insurance — Endorsement</w:t>
      </w:r>
    </w:p>
    <w:p>
      <w:r>
        <w:rPr>
          <w:rFonts w:ascii="Georgia" w:hAnsi="Georgia" w:eastAsia="Georgia"/>
          <w:b w:val="0"/>
          <w:i/>
          <w:color w:val="2E5C4E"/>
          <w:sz w:val="28"/>
        </w:rPr>
        <w:t>Policy endorsement</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Attaches to base wording fs-base@1.1.0-DRAFT</w:t>
      </w:r>
    </w:p>
    <w:p>
      <w:r>
        <w:rPr>
          <w:rFonts w:ascii="Consolas" w:hAnsi="Consolas" w:eastAsia="Consolas"/>
          <w:b w:val="0"/>
          <w:i w:val="0"/>
          <w:sz w:val="18"/>
        </w:rPr>
        <w:t>Document ref 2026/FS/0003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end_application"/>
      <w:r>
        <w:rPr>
          <w:rFonts w:ascii="Georgia" w:hAnsi="Georgia" w:eastAsia="Georgia"/>
          <w:b/>
          <w:i w:val="0"/>
          <w:color w:val="1C1915"/>
          <w:sz w:val="32"/>
        </w:rPr>
        <w:t>Application</w:t>
      </w:r>
      <w:bookmarkEnd w:id="0"/>
    </w:p>
    <w:p>
      <w:r>
        <w:rPr>
          <w:b w:val="0"/>
          <w:i w:val="0"/>
        </w:rPr>
        <w:t>This endorsement attaches to and forms part of the Meridian Financial Services Professional Indemnity Insurance wording, version 1.1.0-DRAFT (document reference 2026/FS/0001), referred to here as the base wording. It changes the base wording only as set out below. All other terms, conditions, exclusions and limits of the base wording continue to apply.</w:t>
      </w:r>
    </w:p>
    <w:p>
      <w:r>
        <w:rPr>
          <w:b w:val="0"/>
          <w:i w:val="0"/>
        </w:rPr>
        <w:t>Words defined in the base wording have the same meaning in this endorsement. Where this endorsement and the base wording conflict, this endorsement applies to the extent of the conflict.</w:t>
      </w:r>
    </w:p>
    <w:p>
      <w:r>
        <w:rPr>
          <w:b w:val="0"/>
          <w:i w:val="0"/>
        </w:rPr>
        <w:t>The same terms are published as a single integrated wording, Credit Intermediaries Professional Indemnity Insurance, version 1.1.0-DRAFT. Both documents are generated from the same source and have the same effect.</w:t>
      </w:r>
    </w:p>
    <w:p>
      <w:bookmarkStart w:id="1" w:name="c_end_0"/>
      <w:r>
        <w:rPr>
          <w:rFonts w:ascii="Georgia" w:hAnsi="Georgia" w:eastAsia="Georgia"/>
          <w:b/>
          <w:i w:val="0"/>
          <w:color w:val="1C1915"/>
          <w:sz w:val="32"/>
        </w:rPr>
        <w:t>Replaced: Professional services</w:t>
      </w:r>
      <w:bookmarkEnd w:id="1"/>
    </w:p>
    <w:p>
      <w:r>
        <w:rPr>
          <w:b w:val="0"/>
          <w:i w:val="0"/>
        </w:rPr>
        <w:t>The definition of Professional services in the base wording is deleted and replaced with the following.</w:t>
      </w:r>
    </w:p>
    <w:p>
      <w:r>
        <w:rPr>
          <w:b/>
          <w:i w:val="0"/>
        </w:rPr>
        <w:t>Professional services</w:t>
      </w:r>
    </w:p>
    <w:p>
      <w:r>
        <w:rPr>
          <w:b w:val="0"/>
          <w:i w:val="0"/>
        </w:rPr>
        <w:t>Credit assistance and other credit activities, to the extent that you are authorised to engage in them under the Australian credit licence shown in the schedule, or as a credit representative of the licensee shown in the schedule, including for residential, investment, commercial and asset finance; and any other service shown in the schedule as a professional service.</w:t>
      </w:r>
    </w:p>
    <w:p>
      <w:bookmarkStart w:id="2" w:name="c_end_1"/>
      <w:r>
        <w:rPr>
          <w:rFonts w:ascii="Georgia" w:hAnsi="Georgia" w:eastAsia="Georgia"/>
          <w:b/>
          <w:i w:val="0"/>
          <w:color w:val="1C1915"/>
          <w:sz w:val="32"/>
        </w:rPr>
        <w:t>Added: Lender Claims and Commission Clawback</w:t>
      </w:r>
      <w:bookmarkEnd w:id="2"/>
    </w:p>
    <w:p>
      <w:r>
        <w:rPr>
          <w:b w:val="0"/>
          <w:i w:val="0"/>
        </w:rPr>
        <w:t>The following exclusion is added to the base wording, after the Investment Performance exclusion.</w:t>
      </w:r>
    </w:p>
    <w:p>
      <w:r>
        <w:rPr>
          <w:b/>
          <w:i w:val="0"/>
        </w:rPr>
        <w:t>Lender Claims and Commission Clawback</w:t>
      </w:r>
    </w:p>
    <w:p>
      <w:r>
        <w:rPr>
          <w:b w:val="0"/>
          <w:i w:val="0"/>
        </w:rPr>
        <w:t>(a) Brought by a credit provider, lender, mortgage manager or aggregator against you, except a claim for contribution or indemnity in respect of a claim by your client; or</w:t>
      </w:r>
    </w:p>
    <w:p>
      <w:r>
        <w:rPr>
          <w:b w:val="0"/>
          <w:i w:val="0"/>
        </w:rPr>
        <w:t>(b) for the repayment or clawback of commission or fees paid to you.</w:t>
      </w:r>
    </w:p>
    <w:p>
      <w:bookmarkStart w:id="3" w:name="c_end_2"/>
      <w:r>
        <w:rPr>
          <w:rFonts w:ascii="Georgia" w:hAnsi="Georgia" w:eastAsia="Georgia"/>
          <w:b/>
          <w:i w:val="0"/>
          <w:color w:val="1C1915"/>
          <w:sz w:val="32"/>
        </w:rPr>
        <w:t>Credit Intermediaries Endorsements</w:t>
      </w:r>
      <w:bookmarkEnd w:id="3"/>
    </w:p>
    <w:p>
      <w:r>
        <w:rPr>
          <w:b w:val="0"/>
          <w:i w:val="0"/>
        </w:rPr>
        <w:t>The following endorsements apply to this policy only when the schedule shows that they apply.</w:t>
      </w:r>
    </w:p>
    <w:p>
      <w:r>
        <w:rPr>
          <w:b w:val="0"/>
          <w:i w:val="0"/>
        </w:rPr>
        <w:t>An endorsement does not apply to the extent that a law, or a requirement of ASIC, requiring you to hold this insurance does not permit the cover it removes to be excluded or limited.</w:t>
      </w:r>
    </w:p>
    <w:p>
      <w:bookmarkStart w:id="4" w:name="c_end_3"/>
      <w:r>
        <w:rPr>
          <w:rFonts w:ascii="Georgia" w:hAnsi="Georgia" w:eastAsia="Georgia"/>
          <w:b/>
          <w:i w:val="0"/>
          <w:color w:val="1C1915"/>
          <w:sz w:val="32"/>
        </w:rPr>
        <w:t>Lender Claims Buy-back</w:t>
      </w:r>
      <w:bookmarkEnd w:id="4"/>
    </w:p>
    <w:p>
      <w:r>
        <w:rPr>
          <w:b w:val="0"/>
          <w:i w:val="0"/>
        </w:rPr>
        <w:t xml:space="preserve">Paragraph (a) of </w:t>
      </w:r>
      <w:hyperlink w:anchor="c_fs_ci_excl_lender_claims">
        <w:r>
          <w:rPr>
            <w:color w:val="2E5C4E"/>
            <w:u w:val="single"/>
          </w:rPr>
          <w:t xml:space="preserve">the Lender Claims and Commission Clawback exclusion</w:t>
        </w:r>
      </w:hyperlink>
      <w:r>
        <w:rPr>
          <w:b w:val="0"/>
          <w:i w:val="0"/>
        </w:rPr>
        <w:t xml:space="preserve"> does not apply. Paragraph (b), for commission clawback, continues to apply.</w:t>
      </w:r>
    </w:p>
    <w:p>
      <w:r>
        <w:rPr>
          <w:b w:val="0"/>
          <w:i w:val="0"/>
        </w:rPr>
        <w:t>For claims by a credit provider, lender, mortgage manager or aggregator, the most we will pay in total, including defence costs, is the sub-limit shown in the schedule for this endorsement or, if the schedule shows none, $250,000 in the aggregate for the policy period. The sub-limit is part of the limit of liability.</w:t>
      </w:r>
    </w:p>
    <w:p>
      <w:bookmarkStart w:id="5" w:name="c_end_4"/>
      <w:r>
        <w:rPr>
          <w:rFonts w:ascii="Georgia" w:hAnsi="Georgia" w:eastAsia="Georgia"/>
          <w:b/>
          <w:i w:val="0"/>
          <w:color w:val="1C1915"/>
          <w:sz w:val="32"/>
        </w:rPr>
        <w:t>Motor Dealer Finance</w:t>
      </w:r>
      <w:bookmarkEnd w:id="5"/>
    </w:p>
    <w:p>
      <w:r>
        <w:rPr>
          <w:b w:val="0"/>
          <w:i w:val="0"/>
        </w:rPr>
        <w:t>Credit assistance that you provide as a motor vehicle dealer, or as a credit representative of a lender or broker in connection with the sale of vehicles, is a professional service under this policy.</w:t>
      </w:r>
    </w:p>
    <w:p>
      <w:r>
        <w:rPr>
          <w:b w:val="0"/>
          <w:i w:val="0"/>
        </w:rPr>
        <w:t>We do not cover any claim, loss or liability arising from the sale, condition or repair of a vehicle, or from add-on insurance or warranty products sold with it, unless you are authorised to provide those products under a licence shown in the schedule.</w:t>
      </w:r>
    </w:p>
    <w:p>
      <w:bookmarkStart w:id="6" w:name="c_end_5"/>
      <w:r>
        <w:rPr>
          <w:rFonts w:ascii="Georgia" w:hAnsi="Georgia" w:eastAsia="Georgia"/>
          <w:b/>
          <w:i w:val="0"/>
          <w:color w:val="1C1915"/>
          <w:sz w:val="32"/>
        </w:rPr>
        <w:t>Unregulated Commercial Finance</w:t>
      </w:r>
      <w:bookmarkEnd w:id="6"/>
    </w:p>
    <w:p>
      <w:r>
        <w:rPr>
          <w:b w:val="0"/>
          <w:i w:val="0"/>
        </w:rPr>
        <w:t>Arranging finance that is not regulated by the National Consumer Credit Protection Act 2009 (Cth), for borrowers who use it wholly or mainly for business or investment purposes, is a professional service under this policy.</w:t>
      </w:r>
    </w:p>
    <w:p>
      <w:bookmarkStart w:id="7" w:name="c_end_6"/>
      <w:r>
        <w:rPr>
          <w:rFonts w:ascii="Georgia" w:hAnsi="Georgia" w:eastAsia="Georgia"/>
          <w:b/>
          <w:i w:val="0"/>
          <w:color w:val="1C1915"/>
          <w:sz w:val="32"/>
        </w:rPr>
        <w:t>12-Month Automatic Run-off</w:t>
      </w:r>
      <w:bookmarkEnd w:id="7"/>
    </w:p>
    <w:p>
      <w:r>
        <w:rPr>
          <w:b w:val="0"/>
          <w:i w:val="0"/>
        </w:rPr>
        <w:t>If you cease to hold your Australian credit licence, or cease to be a credit representative, during the policy period, this policy continues, without additional premium, for claims first made against you and notified to us within 12 months after the end of the policy period, arising from professional services provided before you ceased.</w:t>
      </w:r>
    </w:p>
    <w:p>
      <w:r>
        <w:rPr>
          <w:b w:val="0"/>
          <w:i w:val="0"/>
        </w:rPr>
        <w:t>All other terms of this policy, including the limit of liability, continue to apply to those claims.</w:t>
      </w:r>
    </w:p>
    <w:p>
      <w:r>
        <w:rPr>
          <w:b w:val="0"/>
          <w:i w:val="0"/>
        </w:rPr>
        <w:t xml:space="preserve">This endorsement works with </w:t>
      </w:r>
      <w:hyperlink w:anchor="c_fs_ext_run_off_cover">
        <w:r>
          <w:rPr>
            <w:color w:val="2E5C4E"/>
            <w:u w:val="single"/>
          </w:rPr>
          <w:t xml:space="preserve">the Run-Off Cover extension</w:t>
        </w:r>
      </w:hyperlink>
      <w:r>
        <w:rPr>
          <w:b w:val="0"/>
          <w:i w:val="0"/>
        </w:rPr>
        <w:t xml:space="preserve"> as follows:</w:t>
      </w:r>
    </w:p>
    <w:p>
      <w:pPr>
        <w:pStyle w:val="ListBullet"/>
      </w:pPr>
      <w:r>
        <w:rPr>
          <w:b w:val="0"/>
          <w:i w:val="0"/>
        </w:rPr>
        <w:t xml:space="preserve">ceasing to hold your Australian credit licence, or ceasing to be a credit representative, is ceasing to practise for the purposes of </w:t>
      </w:r>
      <w:hyperlink w:anchor="c_fs_ext_run_off_cover">
        <w:r>
          <w:rPr>
            <w:color w:val="2E5C4E"/>
            <w:u w:val="single"/>
          </w:rPr>
          <w:t xml:space="preserve">the Run-Off Cover extension</w:t>
        </w:r>
      </w:hyperlink>
      <w:r>
        <w:rPr>
          <w:b w:val="0"/>
          <w:i w:val="0"/>
        </w:rPr>
        <w:t>;</w:t>
      </w:r>
    </w:p>
    <w:p>
      <w:pPr>
        <w:pStyle w:val="ListBullet"/>
      </w:pPr>
      <w:r>
        <w:rPr>
          <w:b w:val="0"/>
          <w:i w:val="0"/>
        </w:rPr>
        <w:t xml:space="preserve">the 12-month period in this endorsement applies despite the statement in </w:t>
      </w:r>
      <w:hyperlink w:anchor="c_fs_ext_run_off_cover">
        <w:r>
          <w:rPr>
            <w:color w:val="2E5C4E"/>
            <w:u w:val="single"/>
          </w:rPr>
          <w:t xml:space="preserve">the Run-Off Cover extension</w:t>
        </w:r>
      </w:hyperlink>
      <w:r>
        <w:rPr>
          <w:b w:val="0"/>
          <w:i w:val="0"/>
        </w:rPr>
        <w:t xml:space="preserve"> that automatic cover ends at the end of the policy period; and</w:t>
      </w:r>
    </w:p>
    <w:p>
      <w:pPr>
        <w:pStyle w:val="ListBullet"/>
      </w:pPr>
      <w:r>
        <w:rPr>
          <w:b w:val="0"/>
          <w:i w:val="0"/>
        </w:rPr>
        <w:t xml:space="preserve">if an extension under </w:t>
      </w:r>
      <w:hyperlink w:anchor="c_fs_ext_run_off_cover">
        <w:r>
          <w:rPr>
            <w:color w:val="2E5C4E"/>
            <w:u w:val="single"/>
          </w:rPr>
          <w:t xml:space="preserve">the Run-Off Cover extension</w:t>
        </w:r>
      </w:hyperlink>
      <w:r>
        <w:rPr>
          <w:b w:val="0"/>
          <w:i w:val="0"/>
        </w:rPr>
        <w:t xml:space="preserve"> also applies, the longer period applies, and the limit of liability is not increased.</w:t>
      </w:r>
    </w:p>
    <w:p>
      <w:r>
        <w:rPr>
          <w:b w:val="0"/>
          <w:i/>
          <w:sz w:val="18"/>
        </w:rPr>
        <w:t>Cuttleflow Systems — Open Source Insurance Wording</w:t>
      </w:r>
    </w:p>
    <w:p>
      <w:r>
        <w:rPr>
          <w:rFonts w:ascii="Consolas" w:hAnsi="Consolas" w:eastAsia="Consolas"/>
          <w:b w:val="0"/>
          <w:i w:val="0"/>
          <w:sz w:val="16"/>
        </w:rPr>
        <w:t>2026/FS/0003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2026/FS/0003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CREDIT INTERMEDIARIES PROFESSIONAL INDEMNITY INSURANCE — ENDORSEMENT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Intermediaries Professional Indemnity Insurance — Endorsement</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