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EXCESS OF LOSS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2.1.0-DRAFT · November 2026 · CC BY 4.0 (wording text only)</w:t>
      </w:r>
    </w:p>
    <w:p>
      <w:r>
        <w:rPr>
          <w:rFonts w:ascii="Consolas" w:hAnsi="Consolas" w:eastAsia="Consolas"/>
          <w:b w:val="0"/>
          <w:i w:val="0"/>
          <w:sz w:val="18"/>
        </w:rPr>
        <w:t>Document ref 2026/XOL/0001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xol_about"/>
      <w:r>
        <w:rPr>
          <w:rFonts w:ascii="Georgia" w:hAnsi="Georgia" w:eastAsia="Georgia"/>
          <w:b/>
          <w:i w:val="0"/>
          <w:color w:val="1C1915"/>
          <w:sz w:val="32"/>
        </w:rPr>
        <w:t>About This Policy</w:t>
      </w:r>
      <w:bookmarkEnd w:id="0"/>
    </w:p>
    <w:p>
      <w:r>
        <w:rPr>
          <w:b w:val="0"/>
          <w:i w:val="0"/>
        </w:rPr>
        <w:t>This is an excess of loss policy. It covers loss above the limits of the underlying insurance shown in the schedule, up to the limit of liability of this policy. It is not a standalone policy: it adopts the terms of the followed policy, except where this policy says otherwise.</w:t>
      </w:r>
    </w:p>
    <w:p>
      <w:r>
        <w:rPr>
          <w:b w:val="0"/>
          <w:i w:val="0"/>
        </w:rPr>
        <w:t>This policy does not drop down. If the underlying insurance does not pay, for any reason, this policy still responds only above the attachment point. Drop-down cover for the insolvency of an underlying insurer, or for exhaustion of an underlying aggregate limit, is available only by endorsement.</w:t>
      </w:r>
    </w:p>
    <w:p>
      <w:r>
        <w:rPr>
          <w:b w:val="0"/>
          <w:i w:val="0"/>
        </w:rPr>
        <w:t xml:space="preserve">This policy, together with your schedule and any endorsements shown in it, forms your contract of insurance with us. Please read it together with the followed policy and the other underlying insurance, and tell us if anything in the schedule is incorrect. Where the schedule and this wording differ, the schedule applies. Words with special meanings are listed in </w:t>
      </w:r>
      <w:hyperlink w:anchor="c_xol_section_definitions">
        <w:r>
          <w:rPr>
            <w:color w:val="2E5C4E"/>
            <w:u w:val="single"/>
          </w:rPr>
          <w:t xml:space="preserve">the Definitions section</w:t>
        </w:r>
      </w:hyperlink>
      <w:r>
        <w:rPr>
          <w:b w:val="0"/>
          <w:i w:val="0"/>
        </w:rPr>
        <w:t>.</w:t>
      </w:r>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 [WP REVIEW: confirm the retail-client posture statement for excess layers written above retail-eligible primary covers.]</w:t>
      </w:r>
    </w:p>
    <w:p>
      <w:bookmarkStart w:id="1" w:name="c_xol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2" w:name="c_xol_schedule"/>
      <w:r>
        <w:rPr>
          <w:rFonts w:ascii="Georgia" w:hAnsi="Georgia" w:eastAsia="Georgia"/>
          <w:b/>
          <w:i w:val="0"/>
          <w:color w:val="1C1915"/>
          <w:sz w:val="32"/>
        </w:rPr>
        <w:t>Schedule</w:t>
      </w:r>
      <w:bookmarkEnd w:id="2"/>
    </w:p>
    <w:p>
      <w:r>
        <w:rPr>
          <w:b w:val="0"/>
          <w:i w:val="0"/>
        </w:rPr>
        <w:t>(Completed separately for each policy. It contains your specific details.)</w:t>
      </w:r>
    </w:p>
    <w:p>
      <w:r>
        <w:rPr>
          <w:b w:val="0"/>
          <w:i w:val="0"/>
        </w:rPr>
        <w:t>The schedule shows:</w:t>
      </w:r>
    </w:p>
    <w:p>
      <w:pPr>
        <w:pStyle w:val="ListBullet"/>
      </w:pPr>
      <w:r>
        <w:rPr>
          <w:b w:val="0"/>
          <w:i w:val="0"/>
        </w:rPr>
        <w:t>The named insured and ABN</w:t>
      </w:r>
    </w:p>
    <w:p>
      <w:pPr>
        <w:pStyle w:val="ListBullet"/>
      </w:pPr>
      <w:r>
        <w:rPr>
          <w:b w:val="0"/>
          <w:i w:val="0"/>
        </w:rPr>
        <w:t>The policy period, start and end dates</w:t>
      </w:r>
    </w:p>
    <w:p>
      <w:pPr>
        <w:pStyle w:val="ListBullet"/>
      </w:pPr>
      <w:r>
        <w:rPr>
          <w:b w:val="0"/>
          <w:i w:val="0"/>
        </w:rPr>
        <w:t>The followed policy: insurer, policy number, wording and version, period, and limit</w:t>
      </w:r>
    </w:p>
    <w:p>
      <w:pPr>
        <w:pStyle w:val="ListBullet"/>
      </w:pPr>
      <w:r>
        <w:rPr>
          <w:b w:val="0"/>
          <w:i w:val="0"/>
        </w:rPr>
        <w:t>The underlying insurance: each policy in the tower below this policy, by insurer, policy number, layer limit, attachment and expiry date</w:t>
      </w:r>
    </w:p>
    <w:p>
      <w:pPr>
        <w:pStyle w:val="ListBullet"/>
      </w:pPr>
      <w:r>
        <w:rPr>
          <w:b w:val="0"/>
          <w:i w:val="0"/>
        </w:rPr>
        <w:t>The attachment point, and any gap excess you bear</w:t>
      </w:r>
    </w:p>
    <w:p>
      <w:pPr>
        <w:pStyle w:val="ListBullet"/>
      </w:pPr>
      <w:r>
        <w:rPr>
          <w:b w:val="0"/>
          <w:i w:val="0"/>
        </w:rPr>
        <w:t>The limit of liability of this policy, in the aggregate, and any limit for any one claim</w:t>
      </w:r>
    </w:p>
    <w:p>
      <w:pPr>
        <w:pStyle w:val="ListBullet"/>
      </w:pPr>
      <w:r>
        <w:rPr>
          <w:b w:val="0"/>
          <w:i w:val="0"/>
        </w:rPr>
        <w:t>Our share of this layer, where this layer is shared between insurers, and the other insurers on the layer</w:t>
      </w:r>
    </w:p>
    <w:p>
      <w:pPr>
        <w:pStyle w:val="ListBullet"/>
      </w:pPr>
      <w:r>
        <w:rPr>
          <w:b w:val="0"/>
          <w:i w:val="0"/>
        </w:rPr>
        <w:t>The retroactive date, where the followed policy is written on a claims-made basis and this policy states a different date</w:t>
      </w:r>
    </w:p>
    <w:p>
      <w:pPr>
        <w:pStyle w:val="ListBullet"/>
      </w:pPr>
      <w:r>
        <w:rPr>
          <w:b w:val="0"/>
          <w:i w:val="0"/>
        </w:rPr>
        <w:t xml:space="preserve">The defence costs cap, where it differs from the cap in </w:t>
      </w:r>
      <w:hyperlink w:anchor="c_xol_cover_defence_costs">
        <w:r>
          <w:rPr>
            <w:color w:val="2E5C4E"/>
            <w:u w:val="single"/>
          </w:rPr>
          <w:t xml:space="preserve">the Defence Costs clause</w:t>
        </w:r>
      </w:hyperlink>
    </w:p>
    <w:p>
      <w:pPr>
        <w:pStyle w:val="ListBullet"/>
      </w:pPr>
      <w:r>
        <w:rPr>
          <w:b w:val="0"/>
          <w:i w:val="0"/>
        </w:rPr>
        <w:t>The premium, the minimum premium, stamp duty and GST</w:t>
      </w:r>
    </w:p>
    <w:p>
      <w:pPr>
        <w:pStyle w:val="ListBullet"/>
      </w:pPr>
      <w:r>
        <w:rPr>
          <w:b w:val="0"/>
          <w:i w:val="0"/>
        </w:rPr>
        <w:t xml:space="preserve">The state or territory whose law governs this policy (see </w:t>
      </w:r>
      <w:hyperlink w:anchor="c_xol_cond_governing_law">
        <w:r>
          <w:rPr>
            <w:color w:val="2E5C4E"/>
            <w:u w:val="single"/>
          </w:rPr>
          <w:t xml:space="preserve">the Governing Law condition</w:t>
        </w:r>
      </w:hyperlink>
      <w:r>
        <w:rPr>
          <w:b w:val="0"/>
          <w:i w:val="0"/>
        </w:rPr>
        <w:t>)</w:t>
      </w:r>
    </w:p>
    <w:p>
      <w:pPr>
        <w:pStyle w:val="ListBullet"/>
      </w:pPr>
      <w:r>
        <w:rPr>
          <w:b w:val="0"/>
          <w:i w:val="0"/>
        </w:rPr>
        <w:t>The endorsements that apply, by code, with their variables</w:t>
      </w:r>
    </w:p>
    <w:p>
      <w:bookmarkStart w:id="3" w:name="c_xol_section_definitions"/>
      <w:r>
        <w:rPr>
          <w:rFonts w:ascii="Georgia" w:hAnsi="Georgia" w:eastAsia="Georgia"/>
          <w:b/>
          <w:i w:val="0"/>
          <w:color w:val="1C1915"/>
          <w:sz w:val="32"/>
        </w:rPr>
        <w:t>Definitions</w:t>
      </w:r>
      <w:bookmarkEnd w:id="3"/>
    </w:p>
    <w:p>
      <w:r>
        <w:rPr>
          <w:b w:val="0"/>
          <w:i w:val="0"/>
        </w:rPr>
        <w:t>These words have the meanings below wherever they appear in this policy, the schedule or an endorsement. The singular includes the plural and the plural includes the singular. A word defined in the followed policy and not defined here has the meaning it has in the followed policy.</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4" w:name="c_xol_def_attachment_point"/>
            <w:r>
              <w:rPr>
                <w:b/>
                <w:i w:val="0"/>
              </w:rPr>
              <w:t>Attachment Point</w:t>
            </w:r>
            <w:bookmarkEnd w:id="4"/>
          </w:p>
        </w:tc>
        <w:tc>
          <w:tcPr>
            <w:tcW w:type="dxa" w:w="6803"/>
          </w:tcPr>
          <w:p>
            <w:r>
              <w:rPr>
                <w:b w:val="0"/>
                <w:i w:val="0"/>
              </w:rPr>
              <w:t xml:space="preserve">The amount shown in the schedule as the attachment point. It is the total of the limits of the underlying insurance that apply to a loss, plus any gap excess shown in the schedule. It is fixed at the start of the policy period and does not change if any underlying insurance is reduced, cancelled, not renewed or not paid. </w:t>
            </w:r>
            <w:hyperlink w:anchor="c_xol_cover_attachment_and_exhaustion">
              <w:r>
                <w:rPr>
                  <w:color w:val="2E5C4E"/>
                  <w:u w:val="single"/>
                </w:rPr>
                <w:t xml:space="preserve">The Attachment and Exhaustion clause</w:t>
              </w:r>
            </w:hyperlink>
            <w:r>
              <w:rPr>
                <w:b w:val="0"/>
                <w:i w:val="0"/>
              </w:rPr>
              <w:t xml:space="preserve"> says when it is reached.</w:t>
            </w:r>
          </w:p>
        </w:tc>
      </w:tr>
      <w:tr>
        <w:tc>
          <w:tcPr>
            <w:tcW w:type="dxa" w:w="2608"/>
          </w:tcPr>
          <w:p>
            <w:bookmarkStart w:id="5" w:name="c_xol_def_claim"/>
            <w:r>
              <w:rPr>
                <w:b/>
                <w:i w:val="0"/>
              </w:rPr>
              <w:t>Claim</w:t>
            </w:r>
            <w:bookmarkEnd w:id="5"/>
          </w:p>
        </w:tc>
        <w:tc>
          <w:tcPr>
            <w:tcW w:type="dxa" w:w="6803"/>
          </w:tcPr>
          <w:p>
            <w:r>
              <w:rPr>
                <w:b w:val="0"/>
                <w:i w:val="0"/>
              </w:rPr>
              <w:t>Has the meaning given to it in the followed policy. Where the followed policy responds to a loss rather than a claim, a reference in this policy to a claim means that loss.</w:t>
            </w:r>
          </w:p>
        </w:tc>
      </w:tr>
      <w:tr>
        <w:tc>
          <w:tcPr>
            <w:tcW w:type="dxa" w:w="2608"/>
          </w:tcPr>
          <w:p>
            <w:bookmarkStart w:id="6" w:name="c_xol_def_control_group"/>
            <w:r>
              <w:rPr>
                <w:b/>
                <w:i w:val="0"/>
              </w:rPr>
              <w:t>Control Group</w:t>
            </w:r>
            <w:bookmarkEnd w:id="6"/>
          </w:p>
        </w:tc>
        <w:tc>
          <w:tcPr>
            <w:tcW w:type="dxa" w:w="6803"/>
          </w:tcPr>
          <w:p>
            <w:r>
              <w:rPr>
                <w:b w:val="0"/>
                <w:i w:val="0"/>
              </w:rPr>
              <w:t>The chief executive officer, chief financial officer, general counsel, head of risk or insurance, and directors of a company that is an insured, or a person performing an equivalent role.</w:t>
            </w:r>
          </w:p>
        </w:tc>
      </w:tr>
      <w:tr>
        <w:tc>
          <w:tcPr>
            <w:tcW w:type="dxa" w:w="2608"/>
          </w:tcPr>
          <w:p>
            <w:bookmarkStart w:id="7" w:name="c_xol_def_defence_costs"/>
            <w:r>
              <w:rPr>
                <w:b/>
                <w:i w:val="0"/>
              </w:rPr>
              <w:t>Defence Costs</w:t>
            </w:r>
            <w:bookmarkEnd w:id="7"/>
          </w:p>
        </w:tc>
        <w:tc>
          <w:tcPr>
            <w:tcW w:type="dxa" w:w="6803"/>
          </w:tcPr>
          <w:p>
            <w:r>
              <w:rPr>
                <w:b w:val="0"/>
                <w:i w:val="0"/>
              </w:rPr>
              <w:t>Has the meaning given to it in the followed policy, or the nearest equivalent term in the followed policy for the costs of investigating, defending or settling a claim.</w:t>
            </w:r>
          </w:p>
        </w:tc>
      </w:tr>
      <w:tr>
        <w:tc>
          <w:tcPr>
            <w:tcW w:type="dxa" w:w="2608"/>
          </w:tcPr>
          <w:p>
            <w:bookmarkStart w:id="8" w:name="c_xol_def_endorsement"/>
            <w:r>
              <w:rPr>
                <w:b/>
                <w:i w:val="0"/>
              </w:rPr>
              <w:t>Endorsement</w:t>
            </w:r>
            <w:bookmarkEnd w:id="8"/>
          </w:p>
        </w:tc>
        <w:tc>
          <w:tcPr>
            <w:tcW w:type="dxa" w:w="6803"/>
          </w:tcPr>
          <w:p>
            <w:r>
              <w:rPr>
                <w:b w:val="0"/>
                <w:i w:val="0"/>
              </w:rPr>
              <w:t>A clause in the endorsement library at the end of this policy whose code is shown in the schedule, read with the variables shown for it in the schedule.</w:t>
            </w:r>
          </w:p>
        </w:tc>
      </w:tr>
      <w:tr>
        <w:tc>
          <w:tcPr>
            <w:tcW w:type="dxa" w:w="2608"/>
          </w:tcPr>
          <w:p>
            <w:bookmarkStart w:id="9" w:name="c_xol_def_followed_policy"/>
            <w:r>
              <w:rPr>
                <w:b/>
                <w:i w:val="0"/>
              </w:rPr>
              <w:t>Followed Policy</w:t>
            </w:r>
            <w:bookmarkEnd w:id="9"/>
          </w:p>
        </w:tc>
        <w:tc>
          <w:tcPr>
            <w:tcW w:type="dxa" w:w="6803"/>
          </w:tcPr>
          <w:p>
            <w:r>
              <w:rPr>
                <w:b w:val="0"/>
                <w:i w:val="0"/>
              </w:rPr>
              <w:t xml:space="preserve">The policy named in the schedule as the followed policy, on the wording, version and terms in force at the start of the policy period. It is usually the primary policy. A renewal, replacement or change to it binds us only as </w:t>
            </w:r>
            <w:hyperlink w:anchor="c_xol_cover_changes_to_the_followed_poli">
              <w:r>
                <w:rPr>
                  <w:color w:val="2E5C4E"/>
                  <w:u w:val="single"/>
                </w:rPr>
                <w:t xml:space="preserve">the Changes to the Followed Policy clause</w:t>
              </w:r>
            </w:hyperlink>
            <w:r>
              <w:rPr>
                <w:b w:val="0"/>
                <w:i w:val="0"/>
              </w:rPr>
              <w:t xml:space="preserve"> states.</w:t>
            </w:r>
          </w:p>
        </w:tc>
      </w:tr>
      <w:tr>
        <w:tc>
          <w:tcPr>
            <w:tcW w:type="dxa" w:w="2608"/>
          </w:tcPr>
          <w:p>
            <w:bookmarkStart w:id="10" w:name="c_xol_def_gap_excess"/>
            <w:r>
              <w:rPr>
                <w:b/>
                <w:i w:val="0"/>
              </w:rPr>
              <w:t>Gap Excess</w:t>
            </w:r>
            <w:bookmarkEnd w:id="10"/>
          </w:p>
        </w:tc>
        <w:tc>
          <w:tcPr>
            <w:tcW w:type="dxa" w:w="6803"/>
          </w:tcPr>
          <w:p>
            <w:r>
              <w:rPr>
                <w:b w:val="0"/>
                <w:i w:val="0"/>
              </w:rPr>
              <w:t>Any amount shown in the schedule as a gap excess. It sits between the top of the underlying insurance and the attachment point, and you bear it.</w:t>
            </w:r>
          </w:p>
        </w:tc>
      </w:tr>
      <w:tr>
        <w:tc>
          <w:tcPr>
            <w:tcW w:type="dxa" w:w="2608"/>
          </w:tcPr>
          <w:p>
            <w:bookmarkStart w:id="11" w:name="c_xol_def_limit_of_liability"/>
            <w:r>
              <w:rPr>
                <w:b/>
                <w:i w:val="0"/>
              </w:rPr>
              <w:t>Limit of Liability</w:t>
            </w:r>
            <w:bookmarkEnd w:id="11"/>
          </w:p>
        </w:tc>
        <w:tc>
          <w:tcPr>
            <w:tcW w:type="dxa" w:w="6803"/>
          </w:tcPr>
          <w:p>
            <w:r>
              <w:rPr>
                <w:b w:val="0"/>
                <w:i w:val="0"/>
              </w:rPr>
              <w:t>The amount shown in the schedule as the limit of liability of this policy. Where this layer is shared between insurers, our limit of liability is our share of it.</w:t>
            </w:r>
          </w:p>
        </w:tc>
      </w:tr>
      <w:tr>
        <w:tc>
          <w:tcPr>
            <w:tcW w:type="dxa" w:w="2608"/>
          </w:tcPr>
          <w:p>
            <w:bookmarkStart w:id="12" w:name="c_xol_def_loss"/>
            <w:r>
              <w:rPr>
                <w:b/>
                <w:i w:val="0"/>
              </w:rPr>
              <w:t>Loss</w:t>
            </w:r>
            <w:bookmarkEnd w:id="12"/>
          </w:p>
        </w:tc>
        <w:tc>
          <w:tcPr>
            <w:tcW w:type="dxa" w:w="6803"/>
          </w:tcPr>
          <w:p>
            <w:r>
              <w:rPr>
                <w:b w:val="0"/>
                <w:i w:val="0"/>
              </w:rPr>
              <w:t>Has the meaning given to it in the followed policy, including defence costs where the followed policy treats defence costs as part of loss.</w:t>
            </w:r>
          </w:p>
        </w:tc>
      </w:tr>
      <w:tr>
        <w:tc>
          <w:tcPr>
            <w:tcW w:type="dxa" w:w="2608"/>
          </w:tcPr>
          <w:p>
            <w:bookmarkStart w:id="13" w:name="c_xol_def_policy_period"/>
            <w:r>
              <w:rPr>
                <w:b/>
                <w:i w:val="0"/>
              </w:rPr>
              <w:t>Policy Period</w:t>
            </w:r>
            <w:bookmarkEnd w:id="13"/>
          </w:p>
        </w:tc>
        <w:tc>
          <w:tcPr>
            <w:tcW w:type="dxa" w:w="6803"/>
          </w:tcPr>
          <w:p>
            <w:r>
              <w:rPr>
                <w:b w:val="0"/>
                <w:i w:val="0"/>
              </w:rPr>
              <w:t>The period shown in the schedule, unless this policy is cancelled earlier.</w:t>
            </w:r>
          </w:p>
        </w:tc>
      </w:tr>
      <w:tr>
        <w:tc>
          <w:tcPr>
            <w:tcW w:type="dxa" w:w="2608"/>
          </w:tcPr>
          <w:p>
            <w:bookmarkStart w:id="14" w:name="c_xol_def_retroactive_date"/>
            <w:r>
              <w:rPr>
                <w:b/>
                <w:i w:val="0"/>
              </w:rPr>
              <w:t>Retroactive Date</w:t>
            </w:r>
            <w:bookmarkEnd w:id="14"/>
          </w:p>
        </w:tc>
        <w:tc>
          <w:tcPr>
            <w:tcW w:type="dxa" w:w="6803"/>
          </w:tcPr>
          <w:p>
            <w:r>
              <w:rPr>
                <w:b w:val="0"/>
                <w:i w:val="0"/>
              </w:rPr>
              <w:t>Where the followed policy is written on a claims-made basis, the retroactive date of the followed policy, unless the schedule shows a different retroactive date for this policy.</w:t>
            </w:r>
          </w:p>
          <w:p>
            <w:r>
              <w:rPr>
                <w:b w:val="0"/>
                <w:i w:val="0"/>
              </w:rPr>
              <w:t>Where the schedule shows a later date, this policy does not cover any claim arising from an act, error, omission or matter that first happened before that later date, even if the followed policy covers it.</w:t>
            </w:r>
          </w:p>
          <w:p>
            <w:r>
              <w:rPr>
                <w:b w:val="0"/>
                <w:i w:val="0"/>
              </w:rPr>
              <w:t>Where the schedule shows an earlier date than the retroactive date of the followed policy, the earlier date does not widen this policy. This policy covers only loss that the followed policy covers, so the retroactive date of the followed policy still applies.</w:t>
            </w:r>
          </w:p>
        </w:tc>
      </w:tr>
      <w:tr>
        <w:tc>
          <w:tcPr>
            <w:tcW w:type="dxa" w:w="2608"/>
          </w:tcPr>
          <w:p>
            <w:bookmarkStart w:id="15" w:name="c_xol_def_underlying_insurance"/>
            <w:r>
              <w:rPr>
                <w:b/>
                <w:i w:val="0"/>
              </w:rPr>
              <w:t>Underlying Insurance</w:t>
            </w:r>
            <w:bookmarkEnd w:id="15"/>
          </w:p>
        </w:tc>
        <w:tc>
          <w:tcPr>
            <w:tcW w:type="dxa" w:w="6803"/>
          </w:tcPr>
          <w:p>
            <w:r>
              <w:rPr>
                <w:b w:val="0"/>
                <w:i w:val="0"/>
              </w:rPr>
              <w:t>The followed policy and every other policy shown in the schedule as underlying insurance, each at the limit, attachment and terms shown in the schedule at the start of the policy period.</w:t>
            </w:r>
          </w:p>
        </w:tc>
      </w:tr>
      <w:tr>
        <w:tc>
          <w:tcPr>
            <w:tcW w:type="dxa" w:w="2608"/>
          </w:tcPr>
          <w:p>
            <w:bookmarkStart w:id="16" w:name="c_xol_def_underlying_insurer"/>
            <w:r>
              <w:rPr>
                <w:b/>
                <w:i w:val="0"/>
              </w:rPr>
              <w:t>Underlying Insurer</w:t>
            </w:r>
            <w:bookmarkEnd w:id="16"/>
          </w:p>
        </w:tc>
        <w:tc>
          <w:tcPr>
            <w:tcW w:type="dxa" w:w="6803"/>
          </w:tcPr>
          <w:p>
            <w:r>
              <w:rPr>
                <w:b w:val="0"/>
                <w:i w:val="0"/>
              </w:rPr>
              <w:t>An insurer that issued any of the underlying insurance.</w:t>
            </w:r>
          </w:p>
        </w:tc>
      </w:tr>
      <w:tr>
        <w:tc>
          <w:tcPr>
            <w:tcW w:type="dxa" w:w="2608"/>
          </w:tcPr>
          <w:p>
            <w:bookmarkStart w:id="17" w:name="c_xol_def_underlying_limit"/>
            <w:r>
              <w:rPr>
                <w:b/>
                <w:i w:val="0"/>
              </w:rPr>
              <w:t>Underlying Limit</w:t>
            </w:r>
            <w:bookmarkEnd w:id="17"/>
          </w:p>
        </w:tc>
        <w:tc>
          <w:tcPr>
            <w:tcW w:type="dxa" w:w="6803"/>
          </w:tcPr>
          <w:p>
            <w:r>
              <w:rPr>
                <w:b w:val="0"/>
                <w:i w:val="0"/>
              </w:rPr>
              <w:t>For each policy of underlying insurance, its limit shown in the schedule. Where a policy of underlying insurance has both a limit for any one claim and an aggregate limit, the underlying limit is the limit that applies to the loss.</w:t>
            </w:r>
          </w:p>
        </w:tc>
      </w:tr>
      <w:tr>
        <w:tc>
          <w:tcPr>
            <w:tcW w:type="dxa" w:w="2608"/>
          </w:tcPr>
          <w:p>
            <w:bookmarkStart w:id="18" w:name="c_xol_def_we_us_our"/>
            <w:r>
              <w:rPr>
                <w:b/>
                <w:i w:val="0"/>
              </w:rPr>
              <w:t>We, Us, Our</w:t>
            </w:r>
            <w:bookmarkEnd w:id="18"/>
          </w:p>
        </w:tc>
        <w:tc>
          <w:tcPr>
            <w:tcW w:type="dxa" w:w="6803"/>
          </w:tcPr>
          <w:p>
            <w:r>
              <w:rPr>
                <w:b w:val="0"/>
                <w:i w:val="0"/>
              </w:rPr>
              <w:t>The insurer or insurers named in the schedule as insurers of this policy, each for its own share.</w:t>
            </w:r>
          </w:p>
        </w:tc>
      </w:tr>
      <w:tr>
        <w:tc>
          <w:tcPr>
            <w:tcW w:type="dxa" w:w="2608"/>
          </w:tcPr>
          <w:p>
            <w:bookmarkStart w:id="19" w:name="c_xol_def_you_your"/>
            <w:r>
              <w:rPr>
                <w:b/>
                <w:i w:val="0"/>
              </w:rPr>
              <w:t>You, Your</w:t>
            </w:r>
            <w:bookmarkEnd w:id="19"/>
          </w:p>
        </w:tc>
        <w:tc>
          <w:tcPr>
            <w:tcW w:type="dxa" w:w="6803"/>
          </w:tcPr>
          <w:p>
            <w:r>
              <w:rPr>
                <w:b w:val="0"/>
                <w:i w:val="0"/>
              </w:rPr>
              <w:t>Every person or entity that is an insured under the followed policy, including the named insured shown in the schedule.</w:t>
            </w:r>
          </w:p>
        </w:tc>
      </w:tr>
    </w:tbl>
    <w:p>
      <w:bookmarkStart w:id="20" w:name="c_xol_section_cover"/>
      <w:r>
        <w:rPr>
          <w:rFonts w:ascii="Georgia" w:hAnsi="Georgia" w:eastAsia="Georgia"/>
          <w:b/>
          <w:i w:val="0"/>
          <w:color w:val="1C1915"/>
          <w:sz w:val="32"/>
        </w:rPr>
        <w:t>What Is Covered</w:t>
      </w:r>
      <w:bookmarkEnd w:id="20"/>
    </w:p>
    <w:p>
      <w:bookmarkStart w:id="21" w:name="c_xol_cover_follow_form_excess_layer"/>
      <w:r>
        <w:rPr>
          <w:rFonts w:ascii="Georgia" w:hAnsi="Georgia" w:eastAsia="Georgia"/>
          <w:b/>
          <w:i w:val="0"/>
          <w:color w:val="2E5C4E"/>
          <w:sz w:val="25"/>
        </w:rPr>
        <w:t>Follow-form Excess Layer</w:t>
      </w:r>
      <w:bookmarkEnd w:id="21"/>
    </w:p>
    <w:p>
      <w:r>
        <w:rPr>
          <w:b w:val="0"/>
          <w:i w:val="0"/>
        </w:rPr>
        <w:t>We will pay loss that is covered by the followed policy, to the extent that it exceeds the attachment point, up to the limit of liability.</w:t>
      </w:r>
    </w:p>
    <w:p>
      <w:r>
        <w:rPr>
          <w:b w:val="0"/>
          <w:i w:val="0"/>
        </w:rPr>
        <w:t xml:space="preserve">Except where this policy states otherwise, this policy adopts the terms of the followed policy as they are at the start of the policy period, including its insuring clauses, definitions, exclusions, conditions, claims trigger, geographical limits and jurisdiction limits, subject to </w:t>
      </w:r>
      <w:hyperlink w:anchor="c_xol_def_retroactive_date">
        <w:r>
          <w:rPr>
            <w:color w:val="2E5C4E"/>
            <w:u w:val="single"/>
          </w:rPr>
          <w:t xml:space="preserve">the definition of Retroactive Date</w:t>
        </w:r>
      </w:hyperlink>
      <w:r>
        <w:rPr>
          <w:b w:val="0"/>
          <w:i w:val="0"/>
        </w:rPr>
        <w:t>. Where the followed policy has a sub-limit for a particular loss, this policy does not cover that loss unless the schedule shows that this policy sits excess of that sub-limit.</w:t>
      </w:r>
    </w:p>
    <w:p>
      <w:r>
        <w:rPr>
          <w:b w:val="0"/>
          <w:i w:val="0"/>
        </w:rPr>
        <w:t xml:space="preserve">Where this policy and the followed policy differ, this policy applies. This does not apply to a term of the followed policy that protects an insured from avoidance or reduction of cover, or from the imputation of another insured's knowledge or conduct. This policy always follows those terms, including a non-avoidance or severability promise, and </w:t>
      </w:r>
      <w:hyperlink w:anchor="c_xol_cond_your_duty_of_disclosure">
        <w:r>
          <w:rPr>
            <w:color w:val="2E5C4E"/>
            <w:u w:val="single"/>
          </w:rPr>
          <w:t xml:space="preserve">the Your Duty of Disclosure condition</w:t>
        </w:r>
      </w:hyperlink>
      <w:r>
        <w:rPr>
          <w:b w:val="0"/>
          <w:i w:val="0"/>
        </w:rPr>
        <w:t xml:space="preserve"> and </w:t>
      </w:r>
      <w:hyperlink w:anchor="c_xol_excl_how_the_exclusions_apply">
        <w:r>
          <w:rPr>
            <w:color w:val="2E5C4E"/>
            <w:u w:val="single"/>
          </w:rPr>
          <w:t xml:space="preserve">the How the Exclusions Apply exclusion</w:t>
        </w:r>
      </w:hyperlink>
      <w:r>
        <w:rPr>
          <w:b w:val="0"/>
          <w:i w:val="0"/>
        </w:rPr>
        <w:t xml:space="preserve"> are read subject to them. Where a term of the followed policy cannot sensibly apply to an excess layer (for example a premium, excess, notification address or limit), the corresponding term of this policy applies instead.</w:t>
      </w:r>
    </w:p>
    <w:p>
      <w:bookmarkStart w:id="22" w:name="c_xol_cover_attachment_and_exhaustion"/>
      <w:r>
        <w:rPr>
          <w:rFonts w:ascii="Georgia" w:hAnsi="Georgia" w:eastAsia="Georgia"/>
          <w:b/>
          <w:i w:val="0"/>
          <w:color w:val="2E5C4E"/>
          <w:sz w:val="25"/>
        </w:rPr>
        <w:t>Attachment and Exhaustion</w:t>
      </w:r>
      <w:bookmarkEnd w:id="22"/>
    </w:p>
    <w:p>
      <w:r>
        <w:rPr>
          <w:b w:val="0"/>
          <w:i w:val="0"/>
        </w:rPr>
        <w:t>This policy responds to a loss only once the attachment point has been reached for that loss.</w:t>
      </w:r>
    </w:p>
    <w:p>
      <w:r>
        <w:rPr>
          <w:b w:val="0"/>
          <w:i w:val="0"/>
        </w:rPr>
        <w:t>The attachment point is reached when the full underlying limit of each policy of underlying insurance that applies to the loss, and any gap excess, has been paid by any one or more of:</w:t>
      </w:r>
    </w:p>
    <w:p>
      <w:pPr>
        <w:pStyle w:val="ListBullet"/>
      </w:pPr>
      <w:r>
        <w:rPr>
          <w:b w:val="0"/>
          <w:i w:val="0"/>
        </w:rPr>
        <w:t>the underlying insurers;</w:t>
      </w:r>
    </w:p>
    <w:p>
      <w:pPr>
        <w:pStyle w:val="ListBullet"/>
      </w:pPr>
      <w:r>
        <w:rPr>
          <w:b w:val="0"/>
          <w:i w:val="0"/>
        </w:rPr>
        <w:t>you;</w:t>
      </w:r>
    </w:p>
    <w:p>
      <w:pPr>
        <w:pStyle w:val="ListBullet"/>
      </w:pPr>
      <w:r>
        <w:rPr>
          <w:b w:val="0"/>
          <w:i w:val="0"/>
        </w:rPr>
        <w:t>any other insurer, or any other person, paying on your behalf.</w:t>
      </w:r>
    </w:p>
    <w:p>
      <w:r>
        <w:rPr>
          <w:b w:val="0"/>
          <w:i w:val="0"/>
        </w:rPr>
        <w:t>A payment counts towards the attachment point only if it is a payment of loss that would be covered by the underlying insurance under which it is counted, disregarding any deductible, excess or retention under that underlying insurance. It does not matter whether the payment was made by way of judgment, award or settlement, or in what order the payments were made.</w:t>
      </w:r>
    </w:p>
    <w:p>
      <w:r>
        <w:rPr>
          <w:b w:val="0"/>
          <w:i w:val="0"/>
        </w:rPr>
        <w:t>A settlement for less than an underlying limit does not prevent the attachment point being reached, as long as the difference is paid by you or on your behalf. We are not bound by the amount or terms of any settlement between you and an underlying insurer for the purpose of deciding whether the loss is covered under this policy.</w:t>
      </w:r>
    </w:p>
    <w:p>
      <w:r>
        <w:rPr>
          <w:b w:val="0"/>
          <w:i w:val="0"/>
        </w:rPr>
        <w:t>[WP REVIEW: confirm the Australian authority, if any, on exhaustion by payment of an underlying limit, and that this clause achieves the intended result that payment by the insured fills the underlying layer.]</w:t>
      </w:r>
    </w:p>
    <w:p>
      <w:bookmarkStart w:id="23" w:name="c_xol_cover_no_drop_down"/>
      <w:r>
        <w:rPr>
          <w:rFonts w:ascii="Georgia" w:hAnsi="Georgia" w:eastAsia="Georgia"/>
          <w:b/>
          <w:i w:val="0"/>
          <w:color w:val="2E5C4E"/>
          <w:sz w:val="25"/>
        </w:rPr>
        <w:t>No Drop-down</w:t>
      </w:r>
      <w:bookmarkEnd w:id="23"/>
    </w:p>
    <w:p>
      <w:r>
        <w:rPr>
          <w:b w:val="0"/>
          <w:i w:val="0"/>
        </w:rPr>
        <w:t>This policy does not drop down to replace any underlying insurance, and does not pay any part of a loss below the attachment point. That applies whatever the reason the underlying insurance does not pay, including:</w:t>
      </w:r>
    </w:p>
    <w:p>
      <w:pPr>
        <w:pStyle w:val="ListBullet"/>
      </w:pPr>
      <w:r>
        <w:rPr>
          <w:b w:val="0"/>
          <w:i w:val="0"/>
        </w:rPr>
        <w:t>the insolvency, administration or liquidation of an underlying insurer, or its inability to pay;</w:t>
      </w:r>
    </w:p>
    <w:p>
      <w:pPr>
        <w:pStyle w:val="ListBullet"/>
      </w:pPr>
      <w:r>
        <w:rPr>
          <w:b w:val="0"/>
          <w:i w:val="0"/>
        </w:rPr>
        <w:t>the reduction or exhaustion of an aggregate underlying limit by other losses;</w:t>
      </w:r>
    </w:p>
    <w:p>
      <w:pPr>
        <w:pStyle w:val="ListBullet"/>
      </w:pPr>
      <w:r>
        <w:rPr>
          <w:b w:val="0"/>
          <w:i w:val="0"/>
        </w:rPr>
        <w:t>the cancellation, non-renewal, expiry, avoidance or reduction of any underlying insurance;</w:t>
      </w:r>
    </w:p>
    <w:p>
      <w:pPr>
        <w:pStyle w:val="ListBullet"/>
      </w:pPr>
      <w:r>
        <w:rPr>
          <w:b w:val="0"/>
          <w:i w:val="0"/>
        </w:rPr>
        <w:t>a refusal by an underlying insurer to pay all or part of a loss, for any reason.</w:t>
      </w:r>
    </w:p>
    <w:p>
      <w:r>
        <w:rPr>
          <w:b w:val="0"/>
          <w:i w:val="0"/>
        </w:rPr>
        <w:t xml:space="preserve">In each of these cases you bear the amount below the attachment point that the underlying insurance does not pay. This clause does not apply to the extent that </w:t>
      </w:r>
      <w:hyperlink w:anchor="c_xol_end_e03">
        <w:r>
          <w:rPr>
            <w:color w:val="2E5C4E"/>
            <w:u w:val="single"/>
          </w:rPr>
          <w:t xml:space="preserve">the E03 Drop-down for Underlying Aggregate Exhaustion endorsement</w:t>
        </w:r>
      </w:hyperlink>
      <w:r>
        <w:rPr>
          <w:b w:val="0"/>
          <w:i w:val="0"/>
        </w:rPr>
        <w:t xml:space="preserve"> or </w:t>
      </w:r>
      <w:hyperlink w:anchor="c_xol_end_e09">
        <w:r>
          <w:rPr>
            <w:color w:val="2E5C4E"/>
            <w:u w:val="single"/>
          </w:rPr>
          <w:t xml:space="preserve">the E09 Drop-down for Underlying Insurer Insolvency endorsement</w:t>
        </w:r>
      </w:hyperlink>
      <w:r>
        <w:rPr>
          <w:b w:val="0"/>
          <w:i w:val="0"/>
        </w:rPr>
        <w:t xml:space="preserve"> applies.</w:t>
      </w:r>
    </w:p>
    <w:p>
      <w:bookmarkStart w:id="24" w:name="c_xol_cover_difference_in_conditions"/>
      <w:r>
        <w:rPr>
          <w:rFonts w:ascii="Georgia" w:hAnsi="Georgia" w:eastAsia="Georgia"/>
          <w:b/>
          <w:i w:val="0"/>
          <w:color w:val="2E5C4E"/>
          <w:sz w:val="25"/>
        </w:rPr>
        <w:t>Narrower Followed Policy</w:t>
      </w:r>
      <w:bookmarkEnd w:id="24"/>
    </w:p>
    <w:p>
      <w:r>
        <w:rPr>
          <w:b w:val="0"/>
          <w:i w:val="0"/>
        </w:rPr>
        <w:t xml:space="preserve">This policy covers only loss that the followed policy covers. Where any other underlying insurance is broader than the followed policy, this policy does not follow the broader terms. Where any other underlying insurance is narrower than the followed policy, a loss falling within the gap reaches the attachment point only if the underlying limit of the narrower policy is paid by you or on your behalf, as </w:t>
      </w:r>
      <w:hyperlink w:anchor="c_xol_cover_attachment_and_exhaustion">
        <w:r>
          <w:rPr>
            <w:color w:val="2E5C4E"/>
            <w:u w:val="single"/>
          </w:rPr>
          <w:t xml:space="preserve">the Attachment and Exhaustion clause</w:t>
        </w:r>
      </w:hyperlink>
      <w:r>
        <w:rPr>
          <w:b w:val="0"/>
          <w:i w:val="0"/>
        </w:rPr>
        <w:t xml:space="preserve"> provides.</w:t>
      </w:r>
    </w:p>
    <w:p>
      <w:r>
        <w:rPr>
          <w:b w:val="0"/>
          <w:i w:val="0"/>
        </w:rPr>
        <w:t xml:space="preserve">This clause does not apply to the differences in cover specified in </w:t>
      </w:r>
      <w:hyperlink w:anchor="c_xol_end_e01">
        <w:r>
          <w:rPr>
            <w:color w:val="2E5C4E"/>
            <w:u w:val="single"/>
          </w:rPr>
          <w:t xml:space="preserve">the E01 Difference in Conditions endorsement</w:t>
        </w:r>
      </w:hyperlink>
      <w:r>
        <w:rPr>
          <w:b w:val="0"/>
          <w:i w:val="0"/>
        </w:rPr>
        <w:t xml:space="preserve"> where that endorsement applies.</w:t>
      </w:r>
    </w:p>
    <w:p>
      <w:bookmarkStart w:id="25" w:name="c_xol_cover_changes_to_the_followed_poli"/>
      <w:r>
        <w:rPr>
          <w:rFonts w:ascii="Georgia" w:hAnsi="Georgia" w:eastAsia="Georgia"/>
          <w:b/>
          <w:i w:val="0"/>
          <w:color w:val="2E5C4E"/>
          <w:sz w:val="25"/>
        </w:rPr>
        <w:t>Changes to the Followed Policy</w:t>
      </w:r>
      <w:bookmarkEnd w:id="25"/>
    </w:p>
    <w:p>
      <w:r>
        <w:rPr>
          <w:b w:val="0"/>
          <w:i w:val="0"/>
        </w:rPr>
        <w:t>This policy follows the followed policy as it is at the start of the policy period. A change to the followed policy or any other underlying insurance during the policy period, including an endorsement, a change of wording or version, or a change of limit, excess or retroactive date, binds us only if we agree to it in writing.</w:t>
      </w:r>
    </w:p>
    <w:p>
      <w:r>
        <w:rPr>
          <w:b w:val="0"/>
          <w:i w:val="0"/>
        </w:rPr>
        <w:t>If the followed policy is renewed or replaced during the policy period on terms that are no wider than, and a limit that is not less than, the terms and limit shown in the schedule, this policy follows the renewal or replacement on the terms shown in the schedule.</w:t>
      </w:r>
    </w:p>
    <w:p>
      <w:bookmarkStart w:id="26" w:name="c_xol_cover_defence_costs"/>
      <w:r>
        <w:rPr>
          <w:rFonts w:ascii="Georgia" w:hAnsi="Georgia" w:eastAsia="Georgia"/>
          <w:b/>
          <w:i w:val="0"/>
          <w:color w:val="2E5C4E"/>
          <w:sz w:val="25"/>
        </w:rPr>
        <w:t>Defence Costs</w:t>
      </w:r>
      <w:bookmarkEnd w:id="26"/>
    </w:p>
    <w:p>
      <w:r>
        <w:rPr>
          <w:b w:val="0"/>
          <w:i w:val="0"/>
        </w:rPr>
        <w:t xml:space="preserve">Defence costs are treated under this policy as they are under the followed policy. Where the followed policy pays defence costs within its limit, defence costs paid by us are within, and reduce, the limit of liability, unless </w:t>
      </w:r>
      <w:hyperlink w:anchor="c_xol_end_e04">
        <w:r>
          <w:rPr>
            <w:color w:val="2E5C4E"/>
            <w:u w:val="single"/>
          </w:rPr>
          <w:t xml:space="preserve">the E04 Defence Costs in Addition to the Limit endorsement</w:t>
        </w:r>
      </w:hyperlink>
      <w:r>
        <w:rPr>
          <w:b w:val="0"/>
          <w:i w:val="0"/>
        </w:rPr>
        <w:t xml:space="preserve"> applies. Where the followed policy pays defence costs in addition to its limit, we pay defence costs in the proportion that our payment of loss bears to the total loss, in addition to the limit of liability, up to the defence costs cap. The defence costs cap is 50% of the limit of liability, unless the schedule shows a different amount.</w:t>
      </w:r>
    </w:p>
    <w:p>
      <w:r>
        <w:rPr>
          <w:b w:val="0"/>
          <w:i w:val="0"/>
        </w:rPr>
        <w:t>We will pay defence costs as they are incurred once the attachment point has been reached. Our consent to defence costs is needed only where the followed policy requires the consent of the primary insurer, and we will not unreasonably withhold or delay it.</w:t>
      </w:r>
    </w:p>
    <w:p>
      <w:r>
        <w:rPr>
          <w:b w:val="0"/>
          <w:i w:val="0"/>
        </w:rPr>
        <w:t>Where defence costs are advanced in a civil penalty or criminal proceeding, we advance them as they are incurred. The insured repays them if a final adjudication, or a court's finding, establishes conduct that this policy, the followed policy or the law does not allow to be covered.</w:t>
      </w:r>
    </w:p>
    <w:p>
      <w:bookmarkStart w:id="27" w:name="c_xol_cover_extended_reporting_period"/>
      <w:r>
        <w:rPr>
          <w:rFonts w:ascii="Georgia" w:hAnsi="Georgia" w:eastAsia="Georgia"/>
          <w:b/>
          <w:i w:val="0"/>
          <w:color w:val="2E5C4E"/>
          <w:sz w:val="25"/>
        </w:rPr>
        <w:t>Extended Reporting and Run-off</w:t>
      </w:r>
      <w:bookmarkEnd w:id="27"/>
    </w:p>
    <w:p>
      <w:r>
        <w:rPr>
          <w:b w:val="0"/>
          <w:i w:val="0"/>
        </w:rPr>
        <w:t>The limit of liability applies to claims first made during the policy period, or, where the followed policy responds to a loss rather than a claim, to loss first discovered during the policy period.</w:t>
      </w:r>
    </w:p>
    <w:p>
      <w:r>
        <w:rPr>
          <w:b w:val="0"/>
          <w:i w:val="0"/>
        </w:rPr>
        <w:t>If the followed policy gives an extended reporting period or discovery period because it is cancelled or not renewed, and this policy is also cancelled or not renewed at the same time and you have not replaced it with other excess insurance, this policy follows that period for the same length of time. A claim first made in that period is treated as first made during the policy period. The limit of liability is not reinstated or increased: it applies once across the policy period and that period together.</w:t>
      </w:r>
    </w:p>
    <w:p>
      <w:r>
        <w:rPr>
          <w:b w:val="0"/>
          <w:i w:val="0"/>
        </w:rPr>
        <w:t>In any other case, this policy does not cover a claim first made after the policy period ends, even if the followed policy covers it in an extended reporting period or discovery period.</w:t>
      </w:r>
    </w:p>
    <w:p>
      <w:r>
        <w:rPr>
          <w:b w:val="0"/>
          <w:i w:val="0"/>
        </w:rPr>
        <w:t>[WP REVIEW: confirm that following the followed policy's extended reporting period only where this policy ends at the same time is appropriate, and the position where the followed policy renews but this policy does not.]</w:t>
      </w:r>
    </w:p>
    <w:p>
      <w:bookmarkStart w:id="28" w:name="c_xol_section_exclusions"/>
      <w:r>
        <w:rPr>
          <w:rFonts w:ascii="Georgia" w:hAnsi="Georgia" w:eastAsia="Georgia"/>
          <w:b/>
          <w:i w:val="0"/>
          <w:color w:val="1C1915"/>
          <w:sz w:val="32"/>
        </w:rPr>
        <w:t>What Is Not Covered</w:t>
      </w:r>
      <w:bookmarkEnd w:id="28"/>
    </w:p>
    <w:p>
      <w:r>
        <w:rPr>
          <w:b w:val="0"/>
          <w:i w:val="0"/>
        </w:rPr>
        <w:t>Every exclusion in the followed policy applies to this policy. This policy also has the exclusions below, which apply whether or not the followed policy has a corresponding exclusion.</w:t>
      </w:r>
    </w:p>
    <w:p>
      <w:bookmarkStart w:id="29" w:name="c_xol_excl_below_the_attachment_point"/>
      <w:r>
        <w:rPr>
          <w:rFonts w:ascii="Georgia" w:hAnsi="Georgia" w:eastAsia="Georgia"/>
          <w:b/>
          <w:i w:val="0"/>
          <w:color w:val="2E5C4E"/>
          <w:sz w:val="25"/>
        </w:rPr>
        <w:t>Amounts Below the Attachment Point</w:t>
      </w:r>
      <w:bookmarkEnd w:id="29"/>
    </w:p>
    <w:p>
      <w:r>
        <w:rPr>
          <w:b w:val="0"/>
          <w:i w:val="0"/>
        </w:rPr>
        <w:t>Any part of a loss that falls below the attachment point, including any deductible, excess or retention under any underlying insurance, any gap excess, and any amount that an underlying insurer does not pay.</w:t>
      </w:r>
    </w:p>
    <w:p>
      <w:bookmarkStart w:id="30" w:name="c_xol_excl_fines_and_penalties"/>
      <w:r>
        <w:rPr>
          <w:rFonts w:ascii="Georgia" w:hAnsi="Georgia" w:eastAsia="Georgia"/>
          <w:b/>
          <w:i w:val="0"/>
          <w:color w:val="2E5C4E"/>
          <w:sz w:val="25"/>
        </w:rPr>
        <w:t>Fines and Penalties</w:t>
      </w:r>
      <w:bookmarkEnd w:id="30"/>
    </w:p>
    <w:p>
      <w:r>
        <w:rPr>
          <w:b w:val="0"/>
          <w:i w:val="0"/>
        </w:rPr>
        <w:t>Any fine, penalty, punitive, exemplary or aggravated damages, or civil pecuniary penalty, unless the followed policy covers it and the law allows it to be insured.</w:t>
      </w:r>
    </w:p>
    <w:p>
      <w:r>
        <w:rPr>
          <w:b w:val="0"/>
          <w:i w:val="0"/>
        </w:rPr>
        <w:t xml:space="preserve">We do not pay any fine or penalty that the law does not allow to be insured, whatever law governs this policy. In particular, we do not pay a penalty imposed under work health and safety law in a State or Territory whose law prohibits insurance of it (including New South Wales, Victoria and Queensland), and we do not pay a criminal fine. We do not cover any amount that it is unlawful for us to pay, including a penalty that statute prohibits a person from insuring, or a liability that </w:t>
      </w:r>
      <w:hyperlink w:anchor="c_xol_cond_corporations_act_199">
        <w:r>
          <w:rPr>
            <w:color w:val="2E5C4E"/>
            <w:u w:val="single"/>
          </w:rPr>
          <w:t xml:space="preserve">the Corporations Act 2001 (Cth), sections 199A and 199B condition</w:t>
        </w:r>
      </w:hyperlink>
      <w:r>
        <w:rPr>
          <w:b w:val="0"/>
          <w:i w:val="0"/>
        </w:rPr>
        <w:t xml:space="preserve"> describes.</w:t>
      </w:r>
    </w:p>
    <w:p>
      <w:r>
        <w:rPr>
          <w:b w:val="0"/>
          <w:i w:val="0"/>
        </w:rPr>
        <w:t>[WP REVIEW: confirm the list of jurisdictions that prohibit insurance of WHS penalties; library sources differ on WA and Victoria.]</w:t>
      </w:r>
    </w:p>
    <w:p>
      <w:bookmarkStart w:id="31" w:name="c_xol_excl_war_terrorism_and_nuclear"/>
      <w:r>
        <w:rPr>
          <w:rFonts w:ascii="Georgia" w:hAnsi="Georgia" w:eastAsia="Georgia"/>
          <w:b/>
          <w:i w:val="0"/>
          <w:color w:val="2E5C4E"/>
          <w:sz w:val="25"/>
        </w:rPr>
        <w:t>War, Terrorism and Nuclear</w:t>
      </w:r>
      <w:bookmarkEnd w:id="31"/>
    </w:p>
    <w:p>
      <w:r>
        <w:rPr>
          <w:b w:val="0"/>
          <w:i w:val="0"/>
        </w:rPr>
        <w:t>Any loss arising directly or indirectly from:</w:t>
      </w:r>
    </w:p>
    <w:p>
      <w:pPr>
        <w:pStyle w:val="ListBullet"/>
      </w:pPr>
      <w:r>
        <w:rPr>
          <w:b w:val="0"/>
          <w:i w:val="0"/>
        </w:rPr>
        <w:t>war, invasion, act of foreign enemy, hostilities or warlike operations (whether war is declared or not), civil war, rebellion, revolution, insurrection, or military or usurped power;</w:t>
      </w:r>
    </w:p>
    <w:p>
      <w:pPr>
        <w:pStyle w:val="ListBullet"/>
      </w:pPr>
      <w:r>
        <w:rPr>
          <w:b w:val="0"/>
          <w:i w:val="0"/>
        </w:rPr>
        <w:t>an act of terrorism, meaning an act, or the threat of an act, that involves the use of force or violence, or harm to life, property or infrastructure, by any person or group, done or threatened for political, religious, ideological or similar purposes, including to influence a government or to put the public or any section of it in fear; or</w:t>
      </w:r>
    </w:p>
    <w:p>
      <w:pPr>
        <w:pStyle w:val="ListBullet"/>
      </w:pPr>
      <w:r>
        <w:rPr>
          <w:b w:val="0"/>
          <w:i w:val="0"/>
        </w:rPr>
        <w:t>ionising radiation or contamination by radioactivity from any nuclear fuel or nuclear waste, or the radioactive, toxic, explosive or other hazardous properties of any nuclear assembly or component.</w:t>
      </w:r>
    </w:p>
    <w:p>
      <w:r>
        <w:rPr>
          <w:b w:val="0"/>
          <w:i w:val="0"/>
        </w:rPr>
        <w:t>The act of terrorism part of this exclusion does not apply to the extent that the followed policy covers loss arising from an act of terrorism and the schedule shows that this policy follows that cover.</w:t>
      </w:r>
    </w:p>
    <w:p>
      <w:bookmarkStart w:id="32" w:name="c_xol_excl_how_the_exclusions_apply"/>
      <w:r>
        <w:rPr>
          <w:rFonts w:ascii="Georgia" w:hAnsi="Georgia" w:eastAsia="Georgia"/>
          <w:b/>
          <w:i w:val="0"/>
          <w:color w:val="2E5C4E"/>
          <w:sz w:val="25"/>
        </w:rPr>
        <w:t>How the Exclusions Apply</w:t>
      </w:r>
      <w:bookmarkEnd w:id="32"/>
    </w:p>
    <w:p>
      <w:r>
        <w:rPr>
          <w:b w:val="0"/>
          <w:i w:val="0"/>
        </w:rPr>
        <w:t>Where the followed policy has a write-back, carve-back or sub-limit for a matter excluded above, that write-back, carve-back or sub-limit does not extend this policy unless the schedule shows that this policy sits excess of it. The conduct of one insured is not imputed to another insured for the purpose of these exclusions, except as the followed policy provides.</w:t>
      </w:r>
    </w:p>
    <w:p>
      <w:bookmarkStart w:id="33" w:name="c_xol_section_payment"/>
      <w:r>
        <w:rPr>
          <w:rFonts w:ascii="Georgia" w:hAnsi="Georgia" w:eastAsia="Georgia"/>
          <w:b/>
          <w:i w:val="0"/>
          <w:color w:val="1C1915"/>
          <w:sz w:val="32"/>
        </w:rPr>
        <w:t>How Much We Will Pay</w:t>
      </w:r>
      <w:bookmarkEnd w:id="33"/>
    </w:p>
    <w:p>
      <w:bookmarkStart w:id="34" w:name="c_xol_pay_limit_of_liability"/>
      <w:r>
        <w:rPr>
          <w:rFonts w:ascii="Georgia" w:hAnsi="Georgia" w:eastAsia="Georgia"/>
          <w:b/>
          <w:i w:val="0"/>
          <w:color w:val="2E5C4E"/>
          <w:sz w:val="25"/>
        </w:rPr>
        <w:t>Limit of Liability</w:t>
      </w:r>
      <w:bookmarkEnd w:id="34"/>
    </w:p>
    <w:p>
      <w:r>
        <w:rPr>
          <w:b w:val="0"/>
          <w:i w:val="0"/>
        </w:rPr>
        <w:t xml:space="preserve">The most we will pay for all loss under this policy during the policy period, including under any endorsement, is the limit of liability, unless </w:t>
      </w:r>
      <w:hyperlink w:anchor="c_xol_end_e02">
        <w:r>
          <w:rPr>
            <w:color w:val="2E5C4E"/>
            <w:u w:val="single"/>
          </w:rPr>
          <w:t xml:space="preserve">the E02 Reinstatement of the Limit of Liability endorsement</w:t>
        </w:r>
      </w:hyperlink>
      <w:r>
        <w:rPr>
          <w:b w:val="0"/>
          <w:i w:val="0"/>
        </w:rPr>
        <w:t xml:space="preserve"> applies. Where the schedule also shows a limit for any one claim, the most we will pay for any one claim is that limit, and the limit of liability still applies to all claims together.</w:t>
      </w:r>
    </w:p>
    <w:p>
      <w:r>
        <w:rPr>
          <w:b w:val="0"/>
          <w:i w:val="0"/>
        </w:rPr>
        <w:t>Claims that the followed policy treats as one claim, or as related, are one claim under this policy, subject to the limit of liability and the policy period that the followed policy assigns to them.</w:t>
      </w:r>
    </w:p>
    <w:p>
      <w:bookmarkStart w:id="35" w:name="c_xol_pay_shared_layer"/>
      <w:r>
        <w:rPr>
          <w:rFonts w:ascii="Georgia" w:hAnsi="Georgia" w:eastAsia="Georgia"/>
          <w:b/>
          <w:i w:val="0"/>
          <w:color w:val="2E5C4E"/>
          <w:sz w:val="25"/>
        </w:rPr>
        <w:t>Shared Layer</w:t>
      </w:r>
      <w:bookmarkEnd w:id="35"/>
    </w:p>
    <w:p>
      <w:r>
        <w:rPr>
          <w:b w:val="0"/>
          <w:i w:val="0"/>
        </w:rPr>
        <w:t>Where this layer is shared between insurers, each insurer is liable only for its own share of each loss within the layer, and of the limit of liability, as shown in the schedule. We are not liable for the share of any other insurer, including if that insurer is insolvent or does not pay.</w:t>
      </w:r>
    </w:p>
    <w:p>
      <w:bookmarkStart w:id="36" w:name="c_xol_pay_order_of_payment"/>
      <w:r>
        <w:rPr>
          <w:rFonts w:ascii="Georgia" w:hAnsi="Georgia" w:eastAsia="Georgia"/>
          <w:b/>
          <w:i w:val="0"/>
          <w:color w:val="2E5C4E"/>
          <w:sz w:val="25"/>
        </w:rPr>
        <w:t>Order of Payment</w:t>
      </w:r>
      <w:bookmarkEnd w:id="36"/>
    </w:p>
    <w:p>
      <w:r>
        <w:rPr>
          <w:b w:val="0"/>
          <w:i w:val="0"/>
        </w:rPr>
        <w:t>This policy is liable only after the attachment point has been reached, and then only for the part of a loss above it, up to the limit of liability. Any insurance above this policy responds only after the limit of liability has been paid. Where an underlying limit is restored or reinstated after a loss, the attachment point for later losses includes the restored or reinstated amount.</w:t>
      </w:r>
    </w:p>
    <w:p>
      <w:bookmarkStart w:id="37" w:name="c_xol_pay_other_insurance"/>
      <w:r>
        <w:rPr>
          <w:rFonts w:ascii="Georgia" w:hAnsi="Georgia" w:eastAsia="Georgia"/>
          <w:b/>
          <w:i w:val="0"/>
          <w:color w:val="2E5C4E"/>
          <w:sz w:val="25"/>
        </w:rPr>
        <w:t>Other Insurance</w:t>
      </w:r>
      <w:bookmarkEnd w:id="37"/>
    </w:p>
    <w:p>
      <w:r>
        <w:rPr>
          <w:b w:val="0"/>
          <w:i w:val="0"/>
        </w:rPr>
        <w:t>This policy is written as a true excess layer above the underlying insurance named in the schedule. It is excess of, and does not contribute with, that underlying insurance, and pays only after the attachment point is reached.</w:t>
      </w:r>
    </w:p>
    <w:p>
      <w:r>
        <w:rPr>
          <w:b w:val="0"/>
          <w:i w:val="0"/>
        </w:rPr>
        <w:t>If a loss covered by this policy is also covered by another insurance policy that is not shown in the schedule, we will not refuse or reduce our payment because of that other insurance. We may seek contribution from the other insurer as the law allows. Where that other policy covers the same loss in the same layer, we contribute with the other insurer in the proportion that our limit of liability bears to the total limits for that layer.</w:t>
      </w:r>
    </w:p>
    <w:p>
      <w:bookmarkStart w:id="38" w:name="c_xol_pay_recoveries"/>
      <w:r>
        <w:rPr>
          <w:rFonts w:ascii="Georgia" w:hAnsi="Georgia" w:eastAsia="Georgia"/>
          <w:b/>
          <w:i w:val="0"/>
          <w:color w:val="2E5C4E"/>
          <w:sz w:val="25"/>
        </w:rPr>
        <w:t>Recoveries</w:t>
      </w:r>
      <w:bookmarkEnd w:id="38"/>
    </w:p>
    <w:p>
      <w:r>
        <w:rPr>
          <w:b w:val="0"/>
          <w:i w:val="0"/>
        </w:rPr>
        <w:t>Any amount recovered from a third party in respect of a loss paid under this policy and the underlying insurance, after deducting the reasonable costs of the recovery, is applied first to the layer above this policy, if any, then to this policy, then to the underlying insurance, in that order, and lastly to you. Each layer receives no more than it paid. This provision does not apply to the extent that a different order is required by law.</w:t>
      </w:r>
    </w:p>
    <w:p>
      <w:bookmarkStart w:id="39" w:name="c_xol_section_obligations"/>
      <w:r>
        <w:rPr>
          <w:rFonts w:ascii="Georgia" w:hAnsi="Georgia" w:eastAsia="Georgia"/>
          <w:b/>
          <w:i w:val="0"/>
          <w:color w:val="1C1915"/>
          <w:sz w:val="32"/>
        </w:rPr>
        <w:t>Your Obligations</w:t>
      </w:r>
      <w:bookmarkEnd w:id="39"/>
    </w:p>
    <w:p>
      <w:r>
        <w:rPr>
          <w:b w:val="0"/>
          <w:i w:val="0"/>
        </w:rPr>
        <w:t xml:space="preserve">This section sets out what you must do. </w:t>
      </w:r>
      <w:hyperlink w:anchor="c_xol_cond_insurance_contracts_act">
        <w:r>
          <w:rPr>
            <w:color w:val="2E5C4E"/>
            <w:u w:val="single"/>
          </w:rPr>
          <w:t xml:space="preserve">The Insurance Contracts Act 1984 (Cth) condition</w:t>
        </w:r>
      </w:hyperlink>
      <w:r>
        <w:rPr>
          <w:b w:val="0"/>
          <w:i w:val="0"/>
        </w:rPr>
        <w:t xml:space="preserve"> limits what we may do if you do not comply.</w:t>
      </w:r>
    </w:p>
    <w:p>
      <w:bookmarkStart w:id="40" w:name="c_xol_obl_maintain_the_underlying_insura"/>
      <w:r>
        <w:rPr>
          <w:rFonts w:ascii="Georgia" w:hAnsi="Georgia" w:eastAsia="Georgia"/>
          <w:b/>
          <w:i w:val="0"/>
          <w:color w:val="2E5C4E"/>
          <w:sz w:val="25"/>
        </w:rPr>
        <w:t>Maintain the Underlying Insurance</w:t>
      </w:r>
      <w:bookmarkEnd w:id="40"/>
    </w:p>
    <w:p>
      <w:r>
        <w:rPr>
          <w:b w:val="0"/>
          <w:i w:val="0"/>
        </w:rPr>
        <w:t>You must keep the underlying insurance in force throughout the policy period, at the limits and on the terms shown in the schedule, except for the reduction or exhaustion of an aggregate underlying limit by payment of loss.</w:t>
      </w:r>
    </w:p>
    <w:p>
      <w:r>
        <w:rPr>
          <w:b w:val="0"/>
          <w:i w:val="0"/>
        </w:rPr>
        <w:t>If you do not, this policy still applies as if the underlying insurance had been kept in force, and the attachment point does not change. We are not liable for any loss that the underlying insurance would have paid had it been kept in force.</w:t>
      </w:r>
    </w:p>
    <w:p>
      <w:bookmarkStart w:id="41" w:name="c_xol_obl_tell_us_about_claims"/>
      <w:r>
        <w:rPr>
          <w:rFonts w:ascii="Georgia" w:hAnsi="Georgia" w:eastAsia="Georgia"/>
          <w:b/>
          <w:i w:val="0"/>
          <w:color w:val="2E5C4E"/>
          <w:sz w:val="25"/>
        </w:rPr>
        <w:t>Tell Us About Claims</w:t>
      </w:r>
      <w:bookmarkEnd w:id="41"/>
    </w:p>
    <w:p>
      <w:r>
        <w:rPr>
          <w:b w:val="0"/>
          <w:i w:val="0"/>
        </w:rPr>
        <w:t>You must give us notice of any claim, and of any circumstance, within the time and in the manner required by the followed policy. A notice given to the insurer of the followed policy under its terms is notice to us, as long as we also receive a copy within a reasonable time.</w:t>
      </w:r>
    </w:p>
    <w:p>
      <w:r>
        <w:rPr>
          <w:b w:val="0"/>
          <w:i w:val="0"/>
        </w:rPr>
        <w:t>You must also tell us as soon as reasonably practicable when you become aware that a loss, including reserves for defence costs, is likely to exceed half of the attachment point, or that an underlying limit is likely to be paid in full. Notification of circumstances that may give rise to a claim has the effect provided in s.40(3) of the Insurance Contracts Act 1984 (Cth).</w:t>
      </w:r>
    </w:p>
    <w:p>
      <w:bookmarkStart w:id="42" w:name="c_xol_obl_cooperate_with_us"/>
      <w:r>
        <w:rPr>
          <w:rFonts w:ascii="Georgia" w:hAnsi="Georgia" w:eastAsia="Georgia"/>
          <w:b/>
          <w:i w:val="0"/>
          <w:color w:val="2E5C4E"/>
          <w:sz w:val="25"/>
        </w:rPr>
        <w:t>Cooperate With Us</w:t>
      </w:r>
      <w:bookmarkEnd w:id="42"/>
    </w:p>
    <w:p>
      <w:r>
        <w:rPr>
          <w:b w:val="0"/>
          <w:i w:val="0"/>
        </w:rPr>
        <w:t>You must give us the information, documents and help that we reasonably ask for about any claim that may involve this policy. We may take part, at our own cost, in the investigation, defence and settlement of any such claim, and you must keep us informed of significant developments in it.</w:t>
      </w:r>
    </w:p>
    <w:p>
      <w:bookmarkStart w:id="43" w:name="c_xol_obl_settlement_consent"/>
      <w:r>
        <w:rPr>
          <w:rFonts w:ascii="Georgia" w:hAnsi="Georgia" w:eastAsia="Georgia"/>
          <w:b/>
          <w:i w:val="0"/>
          <w:color w:val="2E5C4E"/>
          <w:sz w:val="25"/>
        </w:rPr>
        <w:t>Settlement Consent</w:t>
      </w:r>
      <w:bookmarkEnd w:id="43"/>
    </w:p>
    <w:p>
      <w:r>
        <w:rPr>
          <w:b w:val="0"/>
          <w:i w:val="0"/>
        </w:rPr>
        <w:t>You must not settle a claim, or agree to any judgment, for an amount that is likely to involve this policy, without our written consent. We will not unreasonably withhold or delay our consent.</w:t>
      </w:r>
    </w:p>
    <w:p>
      <w:bookmarkStart w:id="44" w:name="c_xol_obl_tell_us_about_changes"/>
      <w:r>
        <w:rPr>
          <w:rFonts w:ascii="Georgia" w:hAnsi="Georgia" w:eastAsia="Georgia"/>
          <w:b/>
          <w:i w:val="0"/>
          <w:color w:val="2E5C4E"/>
          <w:sz w:val="25"/>
        </w:rPr>
        <w:t>Tell Us About Changes</w:t>
      </w:r>
      <w:bookmarkEnd w:id="44"/>
    </w:p>
    <w:p>
      <w:r>
        <w:rPr>
          <w:b w:val="0"/>
          <w:i w:val="0"/>
        </w:rPr>
        <w:t>You must tell us as soon as reasonably practicable if any underlying insurance is cancelled, not renewed, changed, or reduced other than by payment of loss, or if an underlying insurer becomes insolvent or enters administration or liquidation.</w:t>
      </w:r>
    </w:p>
    <w:p>
      <w:bookmarkStart w:id="45" w:name="c_xol_section_conditions"/>
      <w:r>
        <w:rPr>
          <w:rFonts w:ascii="Georgia" w:hAnsi="Georgia" w:eastAsia="Georgia"/>
          <w:b/>
          <w:i w:val="0"/>
          <w:color w:val="1C1915"/>
          <w:sz w:val="32"/>
        </w:rPr>
        <w:t>General Conditions</w:t>
      </w:r>
      <w:bookmarkEnd w:id="45"/>
    </w:p>
    <w:p>
      <w:bookmarkStart w:id="46" w:name="c_xol_cond_insurance_contracts_act"/>
      <w:r>
        <w:rPr>
          <w:rFonts w:ascii="Georgia" w:hAnsi="Georgia" w:eastAsia="Georgia"/>
          <w:b/>
          <w:i w:val="0"/>
          <w:color w:val="2E5C4E"/>
          <w:sz w:val="25"/>
        </w:rPr>
        <w:t>Insurance Contracts Act 1984 (Cth)</w:t>
      </w:r>
      <w:bookmarkEnd w:id="46"/>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r>
        <w:rPr>
          <w:b w:val="0"/>
          <w:i w:val="0"/>
        </w:rPr>
        <w:t>[WP REVIEW: confirm that the maintenance consequence in the Maintain the Underlying Insurance obligation (fixed attachment point) operates as a definition of the layer insured and not as a refusal to pay to which s.54 applies.]</w:t>
      </w:r>
    </w:p>
    <w:p>
      <w:bookmarkStart w:id="47" w:name="c_xol_cond_corporations_act_199"/>
      <w:r>
        <w:rPr>
          <w:rFonts w:ascii="Georgia" w:hAnsi="Georgia" w:eastAsia="Georgia"/>
          <w:b/>
          <w:i w:val="0"/>
          <w:color w:val="2E5C4E"/>
          <w:sz w:val="25"/>
        </w:rPr>
        <w:t>Corporations Act 2001 (Cth), sections 199A and 199B</w:t>
      </w:r>
      <w:bookmarkEnd w:id="47"/>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officer who is insured under the followed policy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48" w:name="c_xol_cond_your_duty_of_disclosure"/>
      <w:r>
        <w:rPr>
          <w:rFonts w:ascii="Georgia" w:hAnsi="Georgia" w:eastAsia="Georgia"/>
          <w:b/>
          <w:i w:val="0"/>
          <w:color w:val="2E5C4E"/>
          <w:sz w:val="25"/>
        </w:rPr>
        <w:t>Your Duty of Disclosure</w:t>
      </w:r>
      <w:bookmarkEnd w:id="48"/>
    </w:p>
    <w:p>
      <w:r>
        <w:rPr>
          <w:b w:val="0"/>
          <w:i w:val="0"/>
        </w:rPr>
        <w:t xml:space="preserve">This is a contract of insurance for a business. It is not a consumer insurance contract. Before you enter into this policy with us, you have the duty of disclosure in section 21 of the Insurance Contracts Act 1984 (Cth): you must tell us every matter that you know, or that a reasonable person in the circumstances could be expected to know, is relevant to our decision whether to accept the risk of the insurance and, if so, on what terms. You have the same duty before you renew, extend, vary or reinstate this policy. For a company that is an insured, what it knows is what a member of its control group knows (see </w:t>
      </w:r>
      <w:hyperlink w:anchor="c_xol_def_control_group">
        <w:r>
          <w:rPr>
            <w:color w:val="2E5C4E"/>
            <w:u w:val="single"/>
          </w:rPr>
          <w:t xml:space="preserve">the definition of Control Group</w:t>
        </w:r>
      </w:hyperlink>
      <w:r>
        <w:rPr>
          <w:b w:val="0"/>
          <w:i w:val="0"/>
        </w:rPr>
        <w:t>).</w:t>
      </w:r>
    </w:p>
    <w:p>
      <w:r>
        <w:rPr>
          <w:b w:val="0"/>
          <w:i w:val="0"/>
        </w:rPr>
        <w:t>You do not need to tell us anything that reduces the risk we insure you for, that is common knowledge, that we know or should know as an insurer, or that we waive your duty to tell us about.</w:t>
      </w:r>
    </w:p>
    <w:p>
      <w:r>
        <w:rPr>
          <w:b w:val="0"/>
          <w:i w:val="0"/>
        </w:rPr>
        <w:t>If you do not tell us something you are required to, we may reduce the amount we will pay you if you make a claim, or cancel this policy, or both, only as the Insurance Contracts Act 1984 (Cth) allows. If your failure is fraudulent, we may refuse to pay a claim and treat this policy as if it never existed.</w:t>
      </w:r>
    </w:p>
    <w:p>
      <w:r>
        <w:rPr>
          <w:b/>
          <w:i w:val="0"/>
        </w:rPr>
        <w:t>Severability.</w:t>
      </w:r>
      <w:r>
        <w:rPr>
          <w:b w:val="0"/>
          <w:i w:val="0"/>
        </w:rPr>
        <w:t xml:space="preserve"> Disclosure is assessed separately for each insured. The non-disclosure or misrepresentation, or the knowledge or conduct, of one insured is not imputed to another insured. Where the followed policy gives an insured greater protection than this paragraph, because it promises not to avoid the policy, not to reduce a claim, or not to impute one insured's knowledge or conduct to another, this policy gives the same protection to the same insured. </w:t>
      </w:r>
      <w:hyperlink w:anchor="c_xol_cover_follow_form_excess_layer">
        <w:r>
          <w:rPr>
            <w:color w:val="2E5C4E"/>
            <w:u w:val="single"/>
          </w:rPr>
          <w:t xml:space="preserve">The Follow-form Excess Layer clause</w:t>
        </w:r>
      </w:hyperlink>
      <w:r>
        <w:rPr>
          <w:b w:val="0"/>
          <w:i w:val="0"/>
        </w:rPr>
        <w:t xml:space="preserve"> says that this policy always follows those terms.</w:t>
      </w:r>
    </w:p>
    <w:p>
      <w:bookmarkStart w:id="49" w:name="c_xol_cond_cancellation"/>
      <w:r>
        <w:rPr>
          <w:rFonts w:ascii="Georgia" w:hAnsi="Georgia" w:eastAsia="Georgia"/>
          <w:b/>
          <w:i w:val="0"/>
          <w:color w:val="2E5C4E"/>
          <w:sz w:val="25"/>
        </w:rPr>
        <w:t>Cancellation</w:t>
      </w:r>
      <w:bookmarkEnd w:id="49"/>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The cancellation or expiry of the followed policy does not by itself cancel this policy.</w:t>
      </w:r>
    </w:p>
    <w:p>
      <w:bookmarkStart w:id="50" w:name="c_xol_cond_sanctions"/>
      <w:r>
        <w:rPr>
          <w:rFonts w:ascii="Georgia" w:hAnsi="Georgia" w:eastAsia="Georgia"/>
          <w:b/>
          <w:i w:val="0"/>
          <w:color w:val="2E5C4E"/>
          <w:sz w:val="25"/>
        </w:rPr>
        <w:t>Sanctions</w:t>
      </w:r>
      <w:bookmarkEnd w:id="50"/>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51" w:name="c_xol_cond_governing_law"/>
      <w:r>
        <w:rPr>
          <w:rFonts w:ascii="Georgia" w:hAnsi="Georgia" w:eastAsia="Georgia"/>
          <w:b/>
          <w:i w:val="0"/>
          <w:color w:val="2E5C4E"/>
          <w:sz w:val="25"/>
        </w:rPr>
        <w:t>Governing Law</w:t>
      </w:r>
      <w:bookmarkEnd w:id="51"/>
    </w:p>
    <w:p>
      <w:r>
        <w:rPr>
          <w:b w:val="0"/>
          <w:i w:val="0"/>
        </w:rPr>
        <w:t>This policy is governed by the law of the state or territory of Australia shown in the schedule for this purpose. If none is shown, it is governed by the law that governs the followed policy at the start of the policy period.</w:t>
      </w:r>
    </w:p>
    <w:p>
      <w:bookmarkStart w:id="52" w:name="c_xol_cond_jurisdiction"/>
      <w:r>
        <w:rPr>
          <w:rFonts w:ascii="Georgia" w:hAnsi="Georgia" w:eastAsia="Georgia"/>
          <w:b/>
          <w:i w:val="0"/>
          <w:color w:val="2E5C4E"/>
          <w:sz w:val="25"/>
        </w:rPr>
        <w:t>Jurisdiction</w:t>
      </w:r>
      <w:bookmarkEnd w:id="52"/>
    </w:p>
    <w:p>
      <w:r>
        <w:rPr>
          <w:b w:val="0"/>
          <w:i w:val="0"/>
        </w:rPr>
        <w:t xml:space="preserve">You and we submit to the non-exclusive jurisdiction of the courts of the state or territory whose law governs this policy under </w:t>
      </w:r>
      <w:hyperlink w:anchor="c_xol_cond_governing_law">
        <w:r>
          <w:rPr>
            <w:color w:val="2E5C4E"/>
            <w:u w:val="single"/>
          </w:rPr>
          <w:t xml:space="preserve">the Governing Law condition</w:t>
        </w:r>
      </w:hyperlink>
      <w:r>
        <w:rPr>
          <w:b w:val="0"/>
          <w:i w:val="0"/>
        </w:rPr>
        <w:t>, and the courts that hear appeals from those courts.</w:t>
      </w:r>
    </w:p>
    <w:p>
      <w:bookmarkStart w:id="53" w:name="c_xol_cond_gst"/>
      <w:r>
        <w:rPr>
          <w:rFonts w:ascii="Georgia" w:hAnsi="Georgia" w:eastAsia="Georgia"/>
          <w:b/>
          <w:i w:val="0"/>
          <w:color w:val="2E5C4E"/>
          <w:sz w:val="25"/>
        </w:rPr>
        <w:t>GST</w:t>
      </w:r>
      <w:bookmarkEnd w:id="53"/>
    </w:p>
    <w:p>
      <w:r>
        <w:rPr>
          <w:b w:val="0"/>
          <w:i w:val="0"/>
        </w:rPr>
        <w:t>Where we pay a loss, we will reduce the amount we pay by any input tax credit that you are entitled to claim for the loss. You must tell us your entitlement to input tax credits when you make a claim.</w:t>
      </w:r>
    </w:p>
    <w:p>
      <w:bookmarkStart w:id="54" w:name="c_xol_cond_several_liability"/>
      <w:r>
        <w:rPr>
          <w:rFonts w:ascii="Georgia" w:hAnsi="Georgia" w:eastAsia="Georgia"/>
          <w:b/>
          <w:i w:val="0"/>
          <w:color w:val="2E5C4E"/>
          <w:sz w:val="25"/>
        </w:rPr>
        <w:t>Several Liability</w:t>
      </w:r>
      <w:bookmarkEnd w:id="54"/>
    </w:p>
    <w:p>
      <w:r>
        <w:rPr>
          <w:b w:val="0"/>
          <w:i w:val="0"/>
        </w:rPr>
        <w:t>Where more than one insurer is named in the schedule, each insurer's liability is several and not joint, and is limited to its own share. An insurer is not responsible for the share of any other insurer.</w:t>
      </w:r>
    </w:p>
    <w:p>
      <w:bookmarkStart w:id="55" w:name="c_xol_cond_assignment"/>
      <w:r>
        <w:rPr>
          <w:rFonts w:ascii="Georgia" w:hAnsi="Georgia" w:eastAsia="Georgia"/>
          <w:b/>
          <w:i w:val="0"/>
          <w:color w:val="2E5C4E"/>
          <w:sz w:val="25"/>
        </w:rPr>
        <w:t>Assignment</w:t>
      </w:r>
      <w:bookmarkEnd w:id="55"/>
    </w:p>
    <w:p>
      <w:r>
        <w:rPr>
          <w:b w:val="0"/>
          <w:i w:val="0"/>
        </w:rPr>
        <w:t>You may not assign this policy or any right under it without our written consent.</w:t>
      </w:r>
    </w:p>
    <w:p>
      <w:bookmarkStart w:id="56" w:name="c_xol_cond_headings_and_references"/>
      <w:r>
        <w:rPr>
          <w:rFonts w:ascii="Georgia" w:hAnsi="Georgia" w:eastAsia="Georgia"/>
          <w:b/>
          <w:i w:val="0"/>
          <w:color w:val="2E5C4E"/>
          <w:sz w:val="25"/>
        </w:rPr>
        <w:t>Headings and References</w:t>
      </w:r>
      <w:bookmarkEnd w:id="56"/>
    </w:p>
    <w:p>
      <w:r>
        <w:rPr>
          <w:b w:val="0"/>
          <w:i w:val="0"/>
        </w:rPr>
        <w:t>Headings are for convenience only and do not affect the meaning of this policy. A reference to an Act includes any regulation made under it and any amendment or replacement of it.</w:t>
      </w:r>
    </w:p>
    <w:p>
      <w:bookmarkStart w:id="57" w:name="c_xol_cond_disputes_and_complaints"/>
      <w:r>
        <w:rPr>
          <w:rFonts w:ascii="Georgia" w:hAnsi="Georgia" w:eastAsia="Georgia"/>
          <w:b/>
          <w:i w:val="0"/>
          <w:color w:val="2E5C4E"/>
          <w:sz w:val="25"/>
        </w:rPr>
        <w:t>Disputes and Complaints</w:t>
      </w:r>
      <w:bookmarkEnd w:id="57"/>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www.afca.org.au, info@afca.org.au, 1800 931 678. AFCA provides a free and independent dispute resolution service. Time limits may apply, and AFCA's rules decide whether it can hear a complaint about this policy.</w:t>
      </w:r>
    </w:p>
    <w:p>
      <w:bookmarkStart w:id="58" w:name="c_xol_cond_privacy"/>
      <w:r>
        <w:rPr>
          <w:rFonts w:ascii="Georgia" w:hAnsi="Georgia" w:eastAsia="Georgia"/>
          <w:b/>
          <w:i w:val="0"/>
          <w:color w:val="2E5C4E"/>
          <w:sz w:val="25"/>
        </w:rPr>
        <w:t>Privacy</w:t>
      </w:r>
      <w:bookmarkEnd w:id="58"/>
    </w:p>
    <w:p>
      <w:r>
        <w:rPr>
          <w:b w:val="0"/>
          <w:i w:val="0"/>
        </w:rPr>
        <w:t>We collect, use and disclose your personal information in accordance with the Privacy Act 1988 (Cth) and the Australian Privacy Principles, to assess and administer this policy and claims under it. We may share it with the underlying insurers, reinsurers and our service providers for those purposes.</w:t>
      </w:r>
    </w:p>
    <w:p>
      <w:bookmarkStart w:id="59" w:name="c_xol_claims_how_to_make_a_claim"/>
      <w:r>
        <w:rPr>
          <w:rFonts w:ascii="Georgia" w:hAnsi="Georgia" w:eastAsia="Georgia"/>
          <w:b/>
          <w:i w:val="0"/>
          <w:color w:val="1C1915"/>
          <w:sz w:val="32"/>
        </w:rPr>
        <w:t>How to Make a Claim</w:t>
      </w:r>
      <w:bookmarkEnd w:id="59"/>
    </w:p>
    <w:p>
      <w:r>
        <w:rPr>
          <w:b w:val="0"/>
          <w:i w:val="0"/>
        </w:rPr>
        <w:t xml:space="preserve">Tell the insurer of the followed policy first, as the followed policy requires, and send us a copy. Tell us directly as soon as reasonably practicable when a loss is likely to reach this policy, as </w:t>
      </w:r>
      <w:hyperlink w:anchor="c_xol_obl_tell_us_about_claims">
        <w:r>
          <w:rPr>
            <w:color w:val="2E5C4E"/>
            <w:u w:val="single"/>
          </w:rPr>
          <w:t xml:space="preserve">the Tell Us About Claims obligation</w:t>
        </w:r>
      </w:hyperlink>
      <w:r>
        <w:rPr>
          <w:b w:val="0"/>
          <w:i w:val="0"/>
        </w:rPr>
        <w:t xml:space="preserve"> sets out. Our contact details are in the schedule.</w:t>
      </w:r>
    </w:p>
    <w:p>
      <w:bookmarkStart w:id="60" w:name="c_xol_guide"/>
      <w:r>
        <w:rPr>
          <w:rFonts w:ascii="Georgia" w:hAnsi="Georgia" w:eastAsia="Georgia"/>
          <w:b/>
          <w:i w:val="0"/>
          <w:color w:val="1C1915"/>
          <w:sz w:val="32"/>
        </w:rPr>
        <w:t>How Excess Layer Cover Works</w:t>
      </w:r>
      <w:bookmarkEnd w:id="60"/>
    </w:p>
    <w:p>
      <w:r>
        <w:rPr>
          <w:b w:val="0"/>
          <w:i w:val="0"/>
        </w:rPr>
        <w:t>This guide explains this policy. It does not change its terms.</w:t>
      </w:r>
    </w:p>
    <w:p>
      <w:r>
        <w:rPr>
          <w:b w:val="0"/>
          <w:i w:val="0"/>
        </w:rPr>
        <w:t>An excess layer sits above other insurance. Each layer pays only after the layers below it have been paid in full. For example, where the followed policy has a limit of $5 million and this policy has a limit of liability of $10 million in excess of $5 million:</w:t>
      </w:r>
    </w:p>
    <w:p>
      <w:pPr>
        <w:pStyle w:val="ListBullet"/>
      </w:pPr>
      <w:r>
        <w:rPr>
          <w:b w:val="0"/>
          <w:i w:val="0"/>
        </w:rPr>
        <w:t>for a loss of $8 million, the primary layer pays its full $5 million (less your primary excess, which you pay), and this policy pays $3 million;</w:t>
      </w:r>
    </w:p>
    <w:p>
      <w:pPr>
        <w:pStyle w:val="ListBullet"/>
      </w:pPr>
      <w:r>
        <w:rPr>
          <w:b w:val="0"/>
          <w:i w:val="0"/>
        </w:rPr>
        <w:t>for a loss of $20 million, the primary layer pays $5 million, this policy pays $10 million, and the remaining $5 million is yours unless there is a further excess layer.</w:t>
      </w:r>
    </w:p>
    <w:p>
      <w:r>
        <w:rPr>
          <w:b w:val="0"/>
          <w:i w:val="0"/>
        </w:rPr>
        <w:t>If the primary insurer agrees to settle for $4 million and you pay the other $1 million, the $5 million primary layer is treated as paid in full and this policy pays from that point.</w:t>
      </w:r>
    </w:p>
    <w:p>
      <w:r>
        <w:rPr>
          <w:b w:val="0"/>
          <w:i w:val="0"/>
        </w:rPr>
        <w:t>If the primary insurer cannot pay, for example because it is insolvent, this policy does not move down to replace it unless your schedule shows a drop-down endorsement.</w:t>
      </w:r>
    </w:p>
    <w:p>
      <w:bookmarkStart w:id="61" w:name="c_xol_endorsement_library"/>
      <w:r>
        <w:rPr>
          <w:rFonts w:ascii="Georgia" w:hAnsi="Georgia" w:eastAsia="Georgia"/>
          <w:b/>
          <w:i w:val="0"/>
          <w:color w:val="1C1915"/>
          <w:sz w:val="32"/>
        </w:rPr>
        <w:t>Endorsement Library</w:t>
      </w:r>
      <w:bookmarkEnd w:id="61"/>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Difference in Conditions</w:t>
            </w:r>
          </w:p>
        </w:tc>
        <w:tc>
          <w:tcPr>
            <w:tcW w:type="dxa" w:w="3249"/>
          </w:tcPr>
          <w:p>
            <w:r/>
            <w:r>
              <w:rPr>
                <w:b w:val="0"/>
                <w:i w:val="0"/>
              </w:rPr>
              <w:t>Covers the specified differences between the followed policy and other underlying insurance</w:t>
            </w:r>
          </w:p>
        </w:tc>
      </w:tr>
      <w:tr>
        <w:tc>
          <w:tcPr>
            <w:tcW w:type="dxa" w:w="3249"/>
          </w:tcPr>
          <w:p>
            <w:r/>
            <w:r>
              <w:rPr>
                <w:b w:val="0"/>
                <w:i w:val="0"/>
              </w:rPr>
              <w:t>E02</w:t>
            </w:r>
          </w:p>
        </w:tc>
        <w:tc>
          <w:tcPr>
            <w:tcW w:type="dxa" w:w="3249"/>
          </w:tcPr>
          <w:p>
            <w:r/>
            <w:r>
              <w:rPr>
                <w:b w:val="0"/>
                <w:i w:val="0"/>
              </w:rPr>
              <w:t>Reinstatement of the Limit of Liability</w:t>
            </w:r>
          </w:p>
        </w:tc>
        <w:tc>
          <w:tcPr>
            <w:tcW w:type="dxa" w:w="3249"/>
          </w:tcPr>
          <w:p>
            <w:r/>
            <w:r>
              <w:rPr>
                <w:b w:val="0"/>
                <w:i w:val="0"/>
              </w:rPr>
              <w:t>Reinstates the limit of liability once, for an additional premium</w:t>
            </w:r>
          </w:p>
        </w:tc>
      </w:tr>
      <w:tr>
        <w:tc>
          <w:tcPr>
            <w:tcW w:type="dxa" w:w="3249"/>
          </w:tcPr>
          <w:p>
            <w:r/>
            <w:r>
              <w:rPr>
                <w:b w:val="0"/>
                <w:i w:val="0"/>
              </w:rPr>
              <w:t>E03</w:t>
            </w:r>
          </w:p>
        </w:tc>
        <w:tc>
          <w:tcPr>
            <w:tcW w:type="dxa" w:w="3249"/>
          </w:tcPr>
          <w:p>
            <w:r/>
            <w:r>
              <w:rPr>
                <w:b w:val="0"/>
                <w:i w:val="0"/>
              </w:rPr>
              <w:t>Drop-down for Underlying Aggregate Exhaustion</w:t>
            </w:r>
          </w:p>
        </w:tc>
        <w:tc>
          <w:tcPr>
            <w:tcW w:type="dxa" w:w="3249"/>
          </w:tcPr>
          <w:p>
            <w:r/>
            <w:r>
              <w:rPr>
                <w:b w:val="0"/>
                <w:i w:val="0"/>
              </w:rPr>
              <w:t>Moves the attachment point down when an aggregate underlying limit is reduced by paid loss</w:t>
            </w:r>
          </w:p>
        </w:tc>
      </w:tr>
      <w:tr>
        <w:tc>
          <w:tcPr>
            <w:tcW w:type="dxa" w:w="3249"/>
          </w:tcPr>
          <w:p>
            <w:r/>
            <w:r>
              <w:rPr>
                <w:b w:val="0"/>
                <w:i w:val="0"/>
              </w:rPr>
              <w:t>E04</w:t>
            </w:r>
          </w:p>
        </w:tc>
        <w:tc>
          <w:tcPr>
            <w:tcW w:type="dxa" w:w="3249"/>
          </w:tcPr>
          <w:p>
            <w:r/>
            <w:r>
              <w:rPr>
                <w:b w:val="0"/>
                <w:i w:val="0"/>
              </w:rPr>
              <w:t>Defence Costs in Addition to the Limit</w:t>
            </w:r>
          </w:p>
        </w:tc>
        <w:tc>
          <w:tcPr>
            <w:tcW w:type="dxa" w:w="3249"/>
          </w:tcPr>
          <w:p>
            <w:r/>
            <w:r>
              <w:rPr>
                <w:b w:val="0"/>
                <w:i w:val="0"/>
              </w:rPr>
              <w:t>Pays defence costs in addition to the limit of liability where the followed policy pays them within its limit</w:t>
            </w:r>
          </w:p>
        </w:tc>
      </w:tr>
      <w:tr>
        <w:tc>
          <w:tcPr>
            <w:tcW w:type="dxa" w:w="3249"/>
          </w:tcPr>
          <w:p>
            <w:r/>
            <w:r>
              <w:rPr>
                <w:b w:val="0"/>
                <w:i w:val="0"/>
              </w:rPr>
              <w:t>E05</w:t>
            </w:r>
          </w:p>
        </w:tc>
        <w:tc>
          <w:tcPr>
            <w:tcW w:type="dxa" w:w="3249"/>
          </w:tcPr>
          <w:p>
            <w:r/>
            <w:r>
              <w:rPr>
                <w:b w:val="0"/>
                <w:i w:val="0"/>
              </w:rPr>
              <w:t>Self-insured Retention</w:t>
            </w:r>
          </w:p>
        </w:tc>
        <w:tc>
          <w:tcPr>
            <w:tcW w:type="dxa" w:w="3249"/>
          </w:tcPr>
          <w:p>
            <w:r/>
            <w:r>
              <w:rPr>
                <w:b w:val="0"/>
                <w:i w:val="0"/>
              </w:rPr>
              <w:t>Allows a self-insured retention in place of underlying insurance for a specified cover</w:t>
            </w:r>
          </w:p>
        </w:tc>
      </w:tr>
      <w:tr>
        <w:tc>
          <w:tcPr>
            <w:tcW w:type="dxa" w:w="3249"/>
          </w:tcPr>
          <w:p>
            <w:r/>
            <w:r>
              <w:rPr>
                <w:b w:val="0"/>
                <w:i w:val="0"/>
              </w:rPr>
              <w:t>E06</w:t>
            </w:r>
          </w:p>
        </w:tc>
        <w:tc>
          <w:tcPr>
            <w:tcW w:type="dxa" w:w="3249"/>
          </w:tcPr>
          <w:p>
            <w:r/>
            <w:r>
              <w:rPr>
                <w:b w:val="0"/>
                <w:i w:val="0"/>
              </w:rPr>
              <w:t>Multi-year Underlying</w:t>
            </w:r>
          </w:p>
        </w:tc>
        <w:tc>
          <w:tcPr>
            <w:tcW w:type="dxa" w:w="3249"/>
          </w:tcPr>
          <w:p>
            <w:r/>
            <w:r>
              <w:rPr>
                <w:b w:val="0"/>
                <w:i w:val="0"/>
              </w:rPr>
              <w:t>Fixes the underlying insurance for a multi-year followed policy</w:t>
            </w:r>
          </w:p>
        </w:tc>
      </w:tr>
      <w:tr>
        <w:tc>
          <w:tcPr>
            <w:tcW w:type="dxa" w:w="3249"/>
          </w:tcPr>
          <w:p>
            <w:r/>
            <w:r>
              <w:rPr>
                <w:b w:val="0"/>
                <w:i w:val="0"/>
              </w:rPr>
              <w:t>E07</w:t>
            </w:r>
          </w:p>
        </w:tc>
        <w:tc>
          <w:tcPr>
            <w:tcW w:type="dxa" w:w="3249"/>
          </w:tcPr>
          <w:p>
            <w:r/>
            <w:r>
              <w:rPr>
                <w:b w:val="0"/>
                <w:i w:val="0"/>
              </w:rPr>
              <w:t>USA and Canada</w:t>
            </w:r>
          </w:p>
        </w:tc>
        <w:tc>
          <w:tcPr>
            <w:tcW w:type="dxa" w:w="3249"/>
          </w:tcPr>
          <w:p>
            <w:r/>
            <w:r>
              <w:rPr>
                <w:b w:val="0"/>
                <w:i w:val="0"/>
              </w:rPr>
              <w:t>Covers claims brought in the USA and Canada where the followed policy covers them</w:t>
            </w:r>
          </w:p>
        </w:tc>
      </w:tr>
      <w:tr>
        <w:tc>
          <w:tcPr>
            <w:tcW w:type="dxa" w:w="3249"/>
          </w:tcPr>
          <w:p>
            <w:r/>
            <w:r>
              <w:rPr>
                <w:b w:val="0"/>
                <w:i w:val="0"/>
              </w:rPr>
              <w:t>E08</w:t>
            </w:r>
          </w:p>
        </w:tc>
        <w:tc>
          <w:tcPr>
            <w:tcW w:type="dxa" w:w="3249"/>
          </w:tcPr>
          <w:p>
            <w:r/>
            <w:r>
              <w:rPr>
                <w:b w:val="0"/>
                <w:i w:val="0"/>
              </w:rPr>
              <w:t>Specified Exclusion Changes</w:t>
            </w:r>
          </w:p>
        </w:tc>
        <w:tc>
          <w:tcPr>
            <w:tcW w:type="dxa" w:w="3249"/>
          </w:tcPr>
          <w:p>
            <w:r/>
            <w:r>
              <w:rPr>
                <w:b w:val="0"/>
                <w:i w:val="0"/>
              </w:rPr>
              <w:t>Changes specified exclusions of the followed policy for this layer only</w:t>
            </w:r>
          </w:p>
        </w:tc>
      </w:tr>
      <w:tr>
        <w:tc>
          <w:tcPr>
            <w:tcW w:type="dxa" w:w="3249"/>
          </w:tcPr>
          <w:p>
            <w:r/>
            <w:r>
              <w:rPr>
                <w:b w:val="0"/>
                <w:i w:val="0"/>
              </w:rPr>
              <w:t>E09</w:t>
            </w:r>
          </w:p>
        </w:tc>
        <w:tc>
          <w:tcPr>
            <w:tcW w:type="dxa" w:w="3249"/>
          </w:tcPr>
          <w:p>
            <w:r/>
            <w:r>
              <w:rPr>
                <w:b w:val="0"/>
                <w:i w:val="0"/>
              </w:rPr>
              <w:t>Drop-down for Underlying Insurer Insolvency</w:t>
            </w:r>
          </w:p>
        </w:tc>
        <w:tc>
          <w:tcPr>
            <w:tcW w:type="dxa" w:w="3249"/>
          </w:tcPr>
          <w:p>
            <w:r/>
            <w:r>
              <w:rPr>
                <w:b w:val="0"/>
                <w:i w:val="0"/>
              </w:rPr>
              <w:t>Moves the attachment point down to replace an insolvent underlying insurer, to a sub-limit</w:t>
            </w:r>
          </w:p>
        </w:tc>
      </w:tr>
    </w:tbl>
    <w:p>
      <w:bookmarkStart w:id="62" w:name="c_xol_end_e01"/>
      <w:r>
        <w:rPr>
          <w:rFonts w:ascii="Georgia" w:hAnsi="Georgia" w:eastAsia="Georgia"/>
          <w:b/>
          <w:i w:val="0"/>
          <w:color w:val="2E5C4E"/>
          <w:sz w:val="25"/>
        </w:rPr>
        <w:t>E01 Difference in Conditions</w:t>
      </w:r>
      <w:bookmarkEnd w:id="62"/>
    </w:p>
    <w:p>
      <w:r>
        <w:rPr>
          <w:b w:val="0"/>
          <w:i w:val="0"/>
        </w:rPr>
        <w:t xml:space="preserve">For the differences in cover specified in the schedule for this endorsement only, </w:t>
      </w:r>
      <w:hyperlink w:anchor="c_xol_cover_difference_in_conditions">
        <w:r>
          <w:rPr>
            <w:color w:val="2E5C4E"/>
            <w:u w:val="single"/>
          </w:rPr>
          <w:t xml:space="preserve">the Narrower Followed Policy clause</w:t>
        </w:r>
      </w:hyperlink>
      <w:r>
        <w:rPr>
          <w:b w:val="0"/>
          <w:i w:val="0"/>
        </w:rPr>
        <w:t xml:space="preserve"> does not apply, and this policy covers loss that the other underlying insurance named in the schedule covers but the followed policy does not.</w:t>
      </w:r>
    </w:p>
    <w:p>
      <w:r>
        <w:rPr>
          <w:b w:val="0"/>
          <w:i w:val="0"/>
        </w:rPr>
        <w:t xml:space="preserve">For loss covered only because of this endorsement, the attachment point is reached when the underlying limit of the policy that covers the loss has been paid as </w:t>
      </w:r>
      <w:hyperlink w:anchor="c_xol_cover_attachment_and_exhaustion">
        <w:r>
          <w:rPr>
            <w:color w:val="2E5C4E"/>
            <w:u w:val="single"/>
          </w:rPr>
          <w:t xml:space="preserve">the Attachment and Exhaustion clause</w:t>
        </w:r>
      </w:hyperlink>
      <w:r>
        <w:rPr>
          <w:b w:val="0"/>
          <w:i w:val="0"/>
        </w:rPr>
        <w:t xml:space="preserve"> provides, and we pay no more than the sub-limit shown for this endorsement, which is part of and not in addition to the limit of liability.</w:t>
      </w:r>
    </w:p>
    <w:p>
      <w:r>
        <w:rPr>
          <w:b w:val="0"/>
          <w:i w:val="0"/>
        </w:rPr>
        <w:t>Schedule variables: the specified differences; the underlying policy that covers them; the sub-limit.</w:t>
      </w:r>
    </w:p>
    <w:p>
      <w:bookmarkStart w:id="63" w:name="c_xol_end_e02"/>
      <w:r>
        <w:rPr>
          <w:rFonts w:ascii="Georgia" w:hAnsi="Georgia" w:eastAsia="Georgia"/>
          <w:b/>
          <w:i w:val="0"/>
          <w:color w:val="2E5C4E"/>
          <w:sz w:val="25"/>
        </w:rPr>
        <w:t>E02 Reinstatement of the Limit of Liability</w:t>
      </w:r>
      <w:bookmarkEnd w:id="63"/>
    </w:p>
    <w:p>
      <w:r>
        <w:rPr>
          <w:b w:val="0"/>
          <w:i w:val="0"/>
        </w:rPr>
        <w:t>Once the limit of liability has been paid in full, it is reinstated once, for the rest of the policy period, for loss arising from claims first made, or losses first occurring, after the date of the reinstatement. The reinstated limit is not available for any claim or loss that the followed policy treats as related to a claim or loss that exhausted the original limit.</w:t>
      </w:r>
    </w:p>
    <w:p>
      <w:r>
        <w:rPr>
          <w:b w:val="0"/>
          <w:i w:val="0"/>
        </w:rPr>
        <w:t xml:space="preserve">You must pay the reinstatement premium shown in the schedule, calculated as the schedule states. </w:t>
      </w:r>
      <w:hyperlink w:anchor="c_xol_pay_limit_of_liability">
        <w:r>
          <w:rPr>
            <w:color w:val="2E5C4E"/>
            <w:u w:val="single"/>
          </w:rPr>
          <w:t xml:space="preserve">The Limit of Liability provision</w:t>
        </w:r>
      </w:hyperlink>
      <w:r>
        <w:rPr>
          <w:b w:val="0"/>
          <w:i w:val="0"/>
        </w:rPr>
        <w:t xml:space="preserve"> is read as allowing two limits of liability in total for the policy period.</w:t>
      </w:r>
    </w:p>
    <w:p>
      <w:r>
        <w:rPr>
          <w:b w:val="0"/>
          <w:i w:val="0"/>
        </w:rPr>
        <w:t>Schedule variables: the reinstatement premium, as an amount or as a percentage of the annual premium, and whether it is pro rata as to time.</w:t>
      </w:r>
    </w:p>
    <w:p>
      <w:bookmarkStart w:id="64" w:name="c_xol_end_e03"/>
      <w:r>
        <w:rPr>
          <w:rFonts w:ascii="Georgia" w:hAnsi="Georgia" w:eastAsia="Georgia"/>
          <w:b/>
          <w:i w:val="0"/>
          <w:color w:val="2E5C4E"/>
          <w:sz w:val="25"/>
        </w:rPr>
        <w:t>E03 Drop-down for Underlying Aggregate Exhaustion</w:t>
      </w:r>
      <w:bookmarkEnd w:id="64"/>
    </w:p>
    <w:p>
      <w:r>
        <w:rPr>
          <w:b w:val="0"/>
          <w:i w:val="0"/>
        </w:rPr>
        <w:t xml:space="preserve">Where an aggregate underlying limit is reduced or exhausted by payment of covered loss during the policy period, the attachment point is reduced by the amount of that payment, and </w:t>
      </w:r>
      <w:hyperlink w:anchor="c_xol_cover_no_drop_down">
        <w:r>
          <w:rPr>
            <w:color w:val="2E5C4E"/>
            <w:u w:val="single"/>
          </w:rPr>
          <w:t xml:space="preserve">the No Drop-down clause</w:t>
        </w:r>
      </w:hyperlink>
      <w:r>
        <w:rPr>
          <w:b w:val="0"/>
          <w:i w:val="0"/>
        </w:rPr>
        <w:t xml:space="preserve"> does not apply to that extent. Where the aggregate underlying limit is exhausted, this policy responds as the first layer of insurance for that cover, subject to the deductible or excess of the followed policy, which you bear.</w:t>
      </w:r>
    </w:p>
    <w:p>
      <w:r>
        <w:rPr>
          <w:b w:val="0"/>
          <w:i w:val="0"/>
        </w:rPr>
        <w:t>The most we will pay for loss in the part of the tower that this endorsement brings into cover is the drop-down sub-limit shown in the schedule, which is part of and not in addition to the limit of liability. This endorsement does not apply to a reduction caused by loss paid before the start of the policy period, unless the schedule says so.</w:t>
      </w:r>
    </w:p>
    <w:p>
      <w:r>
        <w:rPr>
          <w:b w:val="0"/>
          <w:i w:val="0"/>
        </w:rPr>
        <w:t>Schedule variables: the underlying policies to which it applies; the drop-down sub-limit; whether prior-period erosion counts.</w:t>
      </w:r>
    </w:p>
    <w:p>
      <w:bookmarkStart w:id="65" w:name="c_xol_end_e04"/>
      <w:r>
        <w:rPr>
          <w:rFonts w:ascii="Georgia" w:hAnsi="Georgia" w:eastAsia="Georgia"/>
          <w:b/>
          <w:i w:val="0"/>
          <w:color w:val="2E5C4E"/>
          <w:sz w:val="25"/>
        </w:rPr>
        <w:t>E04 Defence Costs in Addition to the Limit</w:t>
      </w:r>
      <w:bookmarkEnd w:id="65"/>
    </w:p>
    <w:p>
      <w:r>
        <w:rPr>
          <w:b w:val="0"/>
          <w:i w:val="0"/>
        </w:rPr>
        <w:t xml:space="preserve">Where the followed policy pays defence costs within its limit, we will pay defence costs in addition to the limit of liability, in the proportion that our payment of loss bears to the total loss, up to the defence costs sub-limit shown in the schedule for this endorsement. If no sub-limit is shown, the sub-limit is equal to the limit of liability. The attachment point is still reached only as </w:t>
      </w:r>
      <w:hyperlink w:anchor="c_xol_cover_attachment_and_exhaustion">
        <w:r>
          <w:rPr>
            <w:color w:val="2E5C4E"/>
            <w:u w:val="single"/>
          </w:rPr>
          <w:t xml:space="preserve">the Attachment and Exhaustion clause</w:t>
        </w:r>
      </w:hyperlink>
      <w:r>
        <w:rPr>
          <w:b w:val="0"/>
          <w:i w:val="0"/>
        </w:rPr>
        <w:t xml:space="preserve"> provides.</w:t>
      </w:r>
    </w:p>
    <w:p>
      <w:r>
        <w:rPr>
          <w:b w:val="0"/>
          <w:i w:val="0"/>
        </w:rPr>
        <w:t>Schedule variables: the defence costs sub-limit.</w:t>
      </w:r>
    </w:p>
    <w:p>
      <w:bookmarkStart w:id="66" w:name="c_xol_end_e05"/>
      <w:r>
        <w:rPr>
          <w:rFonts w:ascii="Georgia" w:hAnsi="Georgia" w:eastAsia="Georgia"/>
          <w:b/>
          <w:i w:val="0"/>
          <w:color w:val="2E5C4E"/>
          <w:sz w:val="25"/>
        </w:rPr>
        <w:t>E05 Self-insured Retention</w:t>
      </w:r>
      <w:bookmarkEnd w:id="66"/>
    </w:p>
    <w:p>
      <w:r>
        <w:rPr>
          <w:b w:val="0"/>
          <w:i w:val="0"/>
        </w:rPr>
        <w:t>For the cover named in the schedule for this endorsement, there is no underlying insurance in the layer shown, and you retain that layer yourself as a self-insured retention. The self-insured retention counts towards the attachment point only when you have paid it in full, or it has been paid on your behalf, in loss that would have been covered by the followed policy. You must not insure the self-insured retention without our consent.</w:t>
      </w:r>
    </w:p>
    <w:p>
      <w:r>
        <w:rPr>
          <w:b w:val="0"/>
          <w:i w:val="0"/>
        </w:rPr>
        <w:t>Schedule variables: the cover; the self-insured retention amount and layer; any aggregate for the retention.</w:t>
      </w:r>
    </w:p>
    <w:p>
      <w:bookmarkStart w:id="67" w:name="c_xol_end_e06"/>
      <w:r>
        <w:rPr>
          <w:rFonts w:ascii="Georgia" w:hAnsi="Georgia" w:eastAsia="Georgia"/>
          <w:b/>
          <w:i w:val="0"/>
          <w:color w:val="2E5C4E"/>
          <w:sz w:val="25"/>
        </w:rPr>
        <w:t>E06 Multi-year Underlying</w:t>
      </w:r>
      <w:bookmarkEnd w:id="67"/>
    </w:p>
    <w:p>
      <w:r>
        <w:rPr>
          <w:b w:val="0"/>
          <w:i w:val="0"/>
        </w:rPr>
        <w:t xml:space="preserve">Where the followed policy has a period longer than the policy period, this policy follows the followed policy as it was at its own inception, as shown in the schedule, for the whole of the policy period. A single aggregate underlying limit that runs across more than one policy period of this policy is counted towards the attachment point in each policy period only for loss paid in that policy period, unless </w:t>
      </w:r>
      <w:hyperlink w:anchor="c_xol_end_e03">
        <w:r>
          <w:rPr>
            <w:color w:val="2E5C4E"/>
            <w:u w:val="single"/>
          </w:rPr>
          <w:t xml:space="preserve">the E03 Drop-down for Underlying Aggregate Exhaustion endorsement</w:t>
        </w:r>
      </w:hyperlink>
      <w:r>
        <w:rPr>
          <w:b w:val="0"/>
          <w:i w:val="0"/>
        </w:rPr>
        <w:t xml:space="preserve"> applies.</w:t>
      </w:r>
    </w:p>
    <w:p>
      <w:r>
        <w:rPr>
          <w:b w:val="0"/>
          <w:i w:val="0"/>
        </w:rPr>
        <w:t>Schedule variables: the followed policy's period and inception date.</w:t>
      </w:r>
    </w:p>
    <w:p>
      <w:bookmarkStart w:id="68" w:name="c_xol_end_e07"/>
      <w:r>
        <w:rPr>
          <w:rFonts w:ascii="Georgia" w:hAnsi="Georgia" w:eastAsia="Georgia"/>
          <w:b/>
          <w:i w:val="0"/>
          <w:color w:val="2E5C4E"/>
          <w:sz w:val="25"/>
        </w:rPr>
        <w:t>E07 USA and Canada</w:t>
      </w:r>
      <w:bookmarkEnd w:id="68"/>
    </w:p>
    <w:p>
      <w:r>
        <w:rPr>
          <w:b w:val="0"/>
          <w:i w:val="0"/>
        </w:rPr>
        <w:t>Where the followed policy covers claims brought in the USA or Canada, or claims to enforce a judgment made there, this policy follows that cover, subject to the separate attachment point, if any, and the sub-limit shown in the schedule for this endorsement, which is part of and not in addition to the limit of liability. Without this endorsement, this policy does not cover any such claim.</w:t>
      </w:r>
    </w:p>
    <w:p>
      <w:r>
        <w:rPr>
          <w:b w:val="0"/>
          <w:i w:val="0"/>
        </w:rPr>
        <w:t>Schedule variables: the USA and Canada attachment point, if different; the sub-limit.</w:t>
      </w:r>
    </w:p>
    <w:p>
      <w:bookmarkStart w:id="69" w:name="c_xol_end_e08"/>
      <w:r>
        <w:rPr>
          <w:rFonts w:ascii="Georgia" w:hAnsi="Georgia" w:eastAsia="Georgia"/>
          <w:b/>
          <w:i w:val="0"/>
          <w:color w:val="2E5C4E"/>
          <w:sz w:val="25"/>
        </w:rPr>
        <w:t>E08 Specified Exclusion Changes</w:t>
      </w:r>
      <w:bookmarkEnd w:id="69"/>
    </w:p>
    <w:p>
      <w:r>
        <w:rPr>
          <w:b w:val="0"/>
          <w:i w:val="0"/>
        </w:rPr>
        <w:t xml:space="preserve">The exclusions of the followed policy named in the schedule for this endorsement apply to this policy as changed in the schedule, or do not apply, as the schedule states. A change made by this endorsement does not change the attachment point: a loss covered only because of it reaches the attachment point only if the underlying limits are paid by you or on your behalf as </w:t>
      </w:r>
      <w:hyperlink w:anchor="c_xol_cover_attachment_and_exhaustion">
        <w:r>
          <w:rPr>
            <w:color w:val="2E5C4E"/>
            <w:u w:val="single"/>
          </w:rPr>
          <w:t xml:space="preserve">the Attachment and Exhaustion clause</w:t>
        </w:r>
      </w:hyperlink>
      <w:r>
        <w:rPr>
          <w:b w:val="0"/>
          <w:i w:val="0"/>
        </w:rPr>
        <w:t xml:space="preserve"> provides.</w:t>
      </w:r>
    </w:p>
    <w:p>
      <w:r>
        <w:rPr>
          <w:b w:val="0"/>
          <w:i w:val="0"/>
        </w:rPr>
        <w:t>Schedule variables: each exclusion named; the change to it; any sub-limit.</w:t>
      </w:r>
    </w:p>
    <w:p>
      <w:bookmarkStart w:id="70" w:name="c_xol_end_e09"/>
      <w:r>
        <w:rPr>
          <w:rFonts w:ascii="Georgia" w:hAnsi="Georgia" w:eastAsia="Georgia"/>
          <w:b/>
          <w:i w:val="0"/>
          <w:color w:val="2E5C4E"/>
          <w:sz w:val="25"/>
        </w:rPr>
        <w:t>E09 Drop-down for Underlying Insurer Insolvency</w:t>
      </w:r>
      <w:bookmarkEnd w:id="70"/>
    </w:p>
    <w:p>
      <w:r>
        <w:rPr>
          <w:b w:val="0"/>
          <w:i w:val="0"/>
        </w:rPr>
        <w:t xml:space="preserve">Where an underlying insurer named in the schedule for this endorsement becomes subject to an insolvency event during the policy period and, solely because of that event, does not pay loss that its policy covers, we will treat its unpaid share of its underlying limit as paid for the purpose of </w:t>
      </w:r>
      <w:hyperlink w:anchor="c_xol_cover_attachment_and_exhaustion">
        <w:r>
          <w:rPr>
            <w:color w:val="2E5C4E"/>
            <w:u w:val="single"/>
          </w:rPr>
          <w:t xml:space="preserve">the Attachment and Exhaustion clause</w:t>
        </w:r>
      </w:hyperlink>
      <w:r>
        <w:rPr>
          <w:b w:val="0"/>
          <w:i w:val="0"/>
        </w:rPr>
        <w:t>, and pay that loss as if this policy attached at that point, up to the drop-down sub-limit shown in the schedule, which is part of and not in addition to the limit of liability.</w:t>
      </w:r>
    </w:p>
    <w:p>
      <w:r>
        <w:rPr>
          <w:b w:val="0"/>
          <w:i w:val="0"/>
        </w:rPr>
        <w:t>An insolvency event means the appointment of a liquidator, provisional liquidator, administrator, judicial manager or receiver to the underlying insurer, or the underlying insurer becoming unable to pay its debts as they fall due, or the equivalent under the law of its place of incorporation.</w:t>
      </w:r>
    </w:p>
    <w:p>
      <w:r>
        <w:rPr>
          <w:b w:val="0"/>
          <w:i w:val="0"/>
        </w:rPr>
        <w:t>Once we pay, we are subrogated to your rights against the underlying insurer and its estate, including under the Financial Claims Scheme, to the extent of our payment.</w:t>
      </w:r>
    </w:p>
    <w:p>
      <w:r>
        <w:rPr>
          <w:b w:val="0"/>
          <w:i w:val="0"/>
        </w:rPr>
        <w:t>Schedule variables: the underlying insurers to which it applies; the drop-down sub-limit.</w:t>
      </w:r>
    </w:p>
    <w:p>
      <w:bookmarkStart w:id="71" w:name="c_xol_licence_notice"/>
      <w:r>
        <w:rPr>
          <w:rFonts w:ascii="Georgia" w:hAnsi="Georgia" w:eastAsia="Georgia"/>
          <w:b/>
          <w:i w:val="0"/>
          <w:color w:val="1C1915"/>
          <w:sz w:val="32"/>
        </w:rPr>
        <w:t>Licence and Trademark Notice</w:t>
      </w:r>
      <w:bookmarkEnd w:id="71"/>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Your Duty of Disclosure: now states that this is a business contract and cites section 21 of the Insurance Contracts Act 1984 (Cth). Company knowledge is the knowledge of its control group. Disclosure is assessed separately for each insured, and where the followed policy protects an insured from avoidance, reduction of cover or imputation of another insured's knowledge, this policy gives the same protection.</w:t>
      </w:r>
    </w:p>
    <w:p>
      <w:pPr>
        <w:pStyle w:val="ListBullet"/>
      </w:pPr>
      <w:r>
        <w:rPr>
          <w:b w:val="0"/>
          <w:i w:val="0"/>
        </w:rPr>
        <w:t>Follow-form Excess Layer: the rule that this policy applies where it and the followed policy differ no longer overrides the followed policy's non-avoidance, severability or non-imputation terms.</w:t>
      </w:r>
    </w:p>
    <w:p>
      <w:pPr>
        <w:pStyle w:val="ListBullet"/>
      </w:pPr>
      <w:r>
        <w:rPr>
          <w:b w:val="0"/>
          <w:i w:val="0"/>
        </w:rPr>
        <w:t>Control Group: a new definition.</w:t>
      </w:r>
    </w:p>
    <w:p>
      <w:pPr>
        <w:pStyle w:val="ListBullet"/>
      </w:pPr>
      <w:r>
        <w:rPr>
          <w:b w:val="0"/>
          <w:i w:val="0"/>
        </w:rPr>
        <w:t>Fines and Penalties: insurability no longer depends only on the law that governs this policy. The clause names the work health and safety penalties that cannot be insured in the States and Territories that prohibit it, and criminal fines, and refers to the Corporations Act limits.</w:t>
      </w:r>
    </w:p>
    <w:p>
      <w:pPr>
        <w:pStyle w:val="ListBullet"/>
      </w:pPr>
      <w:r>
        <w:rPr>
          <w:b w:val="0"/>
          <w:i w:val="0"/>
        </w:rPr>
        <w:t>Corporations Act 2001 (Cth), sections 199A and 199B: a new condition with the library's standard text.</w:t>
      </w:r>
    </w:p>
    <w:p>
      <w:pPr>
        <w:pStyle w:val="ListBullet"/>
      </w:pPr>
      <w:r>
        <w:rPr>
          <w:b w:val="0"/>
          <w:i w:val="0"/>
        </w:rPr>
        <w:t>Defence Costs: where the followed policy pays defence costs in addition to its limit, our share is now capped at 50% of the limit of liability unless the schedule shows a different amount. Default set for underwriter confirmation. Defence costs in civil penalty and criminal proceedings are advanced and repayable on final adjudication.</w:t>
      </w:r>
    </w:p>
    <w:p>
      <w:pPr>
        <w:pStyle w:val="ListBullet"/>
      </w:pPr>
      <w:r>
        <w:rPr>
          <w:b w:val="0"/>
          <w:i w:val="0"/>
        </w:rPr>
        <w:t>Retroactive Date: now states both cases. A later date in the schedule narrows cover. An earlier date does not widen it.</w:t>
      </w:r>
    </w:p>
    <w:p>
      <w:pPr>
        <w:pStyle w:val="ListBullet"/>
      </w:pPr>
      <w:r>
        <w:rPr>
          <w:b w:val="0"/>
          <w:i w:val="0"/>
        </w:rPr>
        <w:t>Extended Reporting and Run-off: a new clause. This policy follows the followed policy's extended reporting period only where this policy also ends at the same time and is not replaced. In any other case, a claim first made after this policy ends is not covered. Default set for underwriter confirmation.</w:t>
      </w:r>
    </w:p>
    <w:p>
      <w:pPr>
        <w:pStyle w:val="ListBullet"/>
      </w:pPr>
      <w:r>
        <w:rPr>
          <w:b w:val="0"/>
          <w:i w:val="0"/>
        </w:rPr>
        <w:t>Insurance Contracts Act 1984 (Cth), Sanctions, Other Insurance and Cancellation: replaced with the library's standard text.</w:t>
      </w:r>
    </w:p>
    <w:p>
      <w:pPr>
        <w:pStyle w:val="ListBullet"/>
      </w:pPr>
      <w:r>
        <w:rPr>
          <w:b w:val="0"/>
          <w:i w:val="0"/>
        </w:rPr>
        <w:t>Governing Law: if the schedule shows no state or territory, the law of the followed policy applies, not the law of the principal place of business.</w:t>
      </w:r>
    </w:p>
    <w:p>
      <w:pPr>
        <w:pStyle w:val="ListBullet"/>
      </w:pPr>
      <w:r>
        <w:rPr>
          <w:b w:val="0"/>
          <w:i w:val="0"/>
        </w:rPr>
        <w:t>About This Policy: the statement about retail clients now follows the library's standard text.</w:t>
      </w:r>
    </w:p>
    <w:p>
      <w:pPr>
        <w:pStyle w:val="ListBullet"/>
      </w:pPr>
      <w:r>
        <w:rPr>
          <w:b w:val="0"/>
          <w:i w:val="0"/>
        </w:rPr>
        <w:t>Schedule: now shows the defence costs cap.</w:t>
      </w:r>
    </w:p>
    <w:p>
      <w:r>
        <w:rPr>
          <w:b w:val="0"/>
          <w:i/>
          <w:sz w:val="18"/>
        </w:rPr>
        <w:t>Cuttleflow Systems — Open Source Insurance Wording</w:t>
      </w:r>
    </w:p>
    <w:p>
      <w:r>
        <w:rPr>
          <w:rFonts w:ascii="Consolas" w:hAnsi="Consolas" w:eastAsia="Consolas"/>
          <w:b w:val="0"/>
          <w:i w:val="0"/>
          <w:sz w:val="16"/>
        </w:rPr>
        <w:t>2026/XOL/0001 · v2.1.0-DRAFT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2026/XOL/0001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EXCESS OF LOSS INSURANCE · V2.1.0-DRAFT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Excess of Loss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