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r>
        <w:rPr>
          <w:rFonts w:ascii="Consolas" w:hAnsi="Consolas" w:eastAsia="Consolas"/>
          <w:b w:val="0"/>
          <w:i w:val="0"/>
          <w:sz w:val="24"/>
        </w:rPr>
        <w:t xml:space="preserve">cuttleflow </w:t>
      </w:r>
      <w:r>
        <w:rPr>
          <w:rFonts w:ascii="Consolas" w:hAnsi="Consolas" w:eastAsia="Consolas"/>
          <w:b/>
          <w:i w:val="0"/>
          <w:sz w:val="24"/>
        </w:rPr>
        <w:t>SYSTEMS</w:t>
      </w:r>
    </w:p>
    <w:p>
      <w:r>
        <w:rPr>
          <w:rFonts w:ascii="Consolas" w:hAnsi="Consolas" w:eastAsia="Consolas"/>
          <w:b w:val="0"/>
          <w:i w:val="0"/>
          <w:color w:val="C24E2C"/>
          <w:sz w:val="18"/>
        </w:rPr>
        <w:t>COMMERCIAL MOTOR INSURANCE</w:t>
      </w:r>
    </w:p>
    <w:p>
      <w:r>
        <w:rPr>
          <w:rFonts w:ascii="Georgia" w:hAnsi="Georgia" w:eastAsia="Georgia"/>
          <w:b/>
          <w:i w:val="0"/>
          <w:sz w:val="60"/>
        </w:rPr>
        <w:t>Policy Wording</w:t>
      </w:r>
    </w:p>
    <w:p>
      <w:r>
        <w:rPr>
          <w:rFonts w:ascii="Georgia" w:hAnsi="Georgia" w:eastAsia="Georgia"/>
          <w:b w:val="0"/>
          <w:i/>
          <w:color w:val="2E5C4E"/>
          <w:sz w:val="26"/>
        </w:rPr>
        <w:t>Cuttleflow Systems — Open Source Insurance Wording</w:t>
      </w:r>
    </w:p>
    <w:p>
      <w:r>
        <w:rPr>
          <w:rFonts w:ascii="Consolas" w:hAnsi="Consolas" w:eastAsia="Consolas"/>
          <w:b w:val="0"/>
          <w:i w:val="0"/>
          <w:color w:val="2E5C4E"/>
          <w:sz w:val="18"/>
        </w:rPr>
        <w:t>Version 3.1.0-DRAFT · November 2026 · CC BY 4.0 (wording text only)</w:t>
      </w:r>
    </w:p>
    <w:p>
      <w:r>
        <w:rPr>
          <w:rFonts w:ascii="Consolas" w:hAnsi="Consolas" w:eastAsia="Consolas"/>
          <w:b w:val="0"/>
          <w:i w:val="0"/>
          <w:sz w:val="18"/>
        </w:rPr>
        <w:t>Document ref 2026/CMV/0001 · CUTTLEFLOW PTY LTD T/A CUTTLEFLOW SYSTEMS</w:t>
      </w:r>
    </w:p>
    <w:p>
      <w:r>
        <w:rPr>
          <w:b/>
          <w:i w:val="0"/>
          <w:color w:val="C24E2C"/>
        </w:rPr>
        <w:t>DRAFT — SUBJECT TO LEGAL REVIEW — NOT FOR USE</w:t>
      </w:r>
    </w:p>
    <w:p/>
    <w:p/>
    <w:p/>
    <w:p/>
    <w:p/>
    <w:p/>
    <w:p/>
    <w:p/>
    <w:p>
      <w:r>
        <w:rPr>
          <w:rFonts w:ascii="Consolas" w:hAnsi="Consolas" w:eastAsia="Consolas"/>
          <w:b w:val="0"/>
          <w:i w:val="0"/>
          <w:sz w:val="16"/>
        </w:rPr>
        <w:t>33°53′S · 151°16′E · Sydney</w:t>
      </w:r>
      <w:r>
        <w:br w:type="page"/>
      </w:r>
    </w:p>
    <w:p>
      <w:bookmarkStart w:id="0" w:name="c_mot_about"/>
      <w:r>
        <w:rPr>
          <w:rFonts w:ascii="Georgia" w:hAnsi="Georgia" w:eastAsia="Georgia"/>
          <w:b/>
          <w:i w:val="0"/>
          <w:color w:val="1C1915"/>
          <w:sz w:val="32"/>
        </w:rPr>
        <w:t>About This Policy</w:t>
      </w:r>
      <w:bookmarkEnd w:id="0"/>
    </w:p>
    <w:p>
      <w:r>
        <w:rPr>
          <w:b w:val="0"/>
          <w:i w:val="0"/>
        </w:rPr>
        <w:t>This Policy insures business motor vehicles, from a single vehicle to a fleet of any size. Each Insured vehicle is insured at one of three cover levels, shown for that vehicle in the Schedule:</w:t>
      </w:r>
    </w:p>
    <w:tbl>
      <w:tblPr>
        <w:tblStyle w:val="TableGrid"/>
        <w:tblW w:type="auto" w:w="0"/>
        <w:tblLook w:firstColumn="1" w:firstRow="1" w:lastColumn="0" w:lastRow="0" w:noHBand="0" w:noVBand="1" w:val="04A0"/>
      </w:tblPr>
      <w:tblGrid>
        <w:gridCol w:w="4873"/>
        <w:gridCol w:w="4873"/>
      </w:tblGrid>
      <w:tr>
        <w:tc>
          <w:tcPr>
            <w:tcW w:type="dxa" w:w="4873"/>
          </w:tcPr>
          <w:p>
            <w:r/>
            <w:r>
              <w:rPr>
                <w:b w:val="0"/>
                <w:i w:val="0"/>
              </w:rPr>
              <w:t>Cover level</w:t>
            </w:r>
          </w:p>
        </w:tc>
        <w:tc>
          <w:tcPr>
            <w:tcW w:type="dxa" w:w="4873"/>
          </w:tcPr>
          <w:p>
            <w:r/>
            <w:r>
              <w:rPr>
                <w:b w:val="0"/>
                <w:i w:val="0"/>
              </w:rPr>
              <w:t>What it includes</w:t>
            </w:r>
          </w:p>
        </w:tc>
      </w:tr>
      <w:tr>
        <w:tc>
          <w:tcPr>
            <w:tcW w:type="dxa" w:w="4873"/>
          </w:tcPr>
          <w:p>
            <w:r/>
            <w:r>
              <w:rPr>
                <w:b w:val="0"/>
                <w:i w:val="0"/>
              </w:rPr>
              <w:t>Comprehensive</w:t>
            </w:r>
          </w:p>
        </w:tc>
        <w:tc>
          <w:tcPr>
            <w:tcW w:type="dxa" w:w="4873"/>
          </w:tcPr>
          <w:p>
            <w:r/>
            <w:r>
              <w:rPr>
                <w:b w:val="0"/>
                <w:i w:val="0"/>
              </w:rPr>
              <w:t>Accidental loss or damage to the Insured vehicle from any cause not excluded, your legal liability for damage to other people's property, and supplementary bodily injury cover</w:t>
            </w:r>
          </w:p>
        </w:tc>
      </w:tr>
      <w:tr>
        <w:tc>
          <w:tcPr>
            <w:tcW w:type="dxa" w:w="4873"/>
          </w:tcPr>
          <w:p>
            <w:r/>
            <w:r>
              <w:rPr>
                <w:b w:val="0"/>
                <w:i w:val="0"/>
              </w:rPr>
              <w:t>Third party, fire and theft</w:t>
            </w:r>
          </w:p>
        </w:tc>
        <w:tc>
          <w:tcPr>
            <w:tcW w:type="dxa" w:w="4873"/>
          </w:tcPr>
          <w:p>
            <w:r/>
            <w:r>
              <w:rPr>
                <w:b w:val="0"/>
                <w:i w:val="0"/>
              </w:rPr>
              <w:t>Loss or damage to the Insured vehicle caused by fire or theft, your legal liability for damage to other people's property, and supplementary bodily injury cover</w:t>
            </w:r>
          </w:p>
        </w:tc>
      </w:tr>
      <w:tr>
        <w:tc>
          <w:tcPr>
            <w:tcW w:type="dxa" w:w="4873"/>
          </w:tcPr>
          <w:p>
            <w:r/>
            <w:r>
              <w:rPr>
                <w:b w:val="0"/>
                <w:i w:val="0"/>
              </w:rPr>
              <w:t>Third party only</w:t>
            </w:r>
          </w:p>
        </w:tc>
        <w:tc>
          <w:tcPr>
            <w:tcW w:type="dxa" w:w="4873"/>
          </w:tcPr>
          <w:p>
            <w:r/>
            <w:r>
              <w:rPr>
                <w:b w:val="0"/>
                <w:i w:val="0"/>
              </w:rPr>
              <w:t xml:space="preserve">Your legal liability for damage to other people's property, and supplementary bodily injury cover. There is no cover for loss of or damage to the Insured vehicle, except as </w:t>
            </w:r>
            <w:hyperlink w:anchor="c_mot_ext_uninsured_motorist">
              <w:r>
                <w:rPr>
                  <w:color w:val="2E5C4E"/>
                  <w:u w:val="single"/>
                </w:rPr>
                <w:t xml:space="preserve">Uninsured Motorist Damage</w:t>
              </w:r>
            </w:hyperlink>
            <w:r>
              <w:rPr>
                <w:b w:val="0"/>
                <w:i w:val="0"/>
              </w:rPr>
              <w:t xml:space="preserve"> provides</w:t>
            </w:r>
          </w:p>
        </w:tc>
      </w:tr>
    </w:tbl>
    <w:p>
      <w:r>
        <w:rPr>
          <w:b w:val="0"/>
          <w:i w:val="0"/>
        </w:rPr>
        <w:t xml:space="preserve">The Policy is made up of this wording, the Schedule and any Endorsement. Where the Schedule and this wording differ, the Schedule applies. Words with special meanings are listed in </w:t>
      </w:r>
      <w:hyperlink w:anchor="c_mot_section_definitions">
        <w:r>
          <w:rPr>
            <w:color w:val="2E5C4E"/>
            <w:u w:val="single"/>
          </w:rPr>
          <w:t xml:space="preserve">the Definitions section</w:t>
        </w:r>
      </w:hyperlink>
      <w:r>
        <w:rPr>
          <w:b w:val="0"/>
          <w:i w:val="0"/>
        </w:rPr>
        <w:t xml:space="preserve">. </w:t>
      </w:r>
      <w:hyperlink w:anchor="c_mot_section_fleet">
        <w:r>
          <w:rPr>
            <w:color w:val="2E5C4E"/>
            <w:u w:val="single"/>
          </w:rPr>
          <w:t xml:space="preserve">The Fleet Provisions section</w:t>
        </w:r>
      </w:hyperlink>
      <w:r>
        <w:rPr>
          <w:b w:val="0"/>
          <w:i w:val="0"/>
        </w:rPr>
        <w:t xml:space="preserve"> applies only where the Schedule shows that the Policy is written on a Fleet basis.</w:t>
      </w:r>
    </w:p>
    <w:p>
      <w:bookmarkStart w:id="1" w:name="c_mot_who_this_is_for"/>
      <w:r>
        <w:rPr>
          <w:rFonts w:ascii="Georgia" w:hAnsi="Georgia" w:eastAsia="Georgia"/>
          <w:b/>
          <w:i w:val="0"/>
          <w:color w:val="1C1915"/>
          <w:sz w:val="32"/>
        </w:rPr>
        <w:t>Who This Policy Is For</w:t>
      </w:r>
      <w:bookmarkEnd w:id="1"/>
    </w:p>
    <w:p>
      <w:r>
        <w:rPr>
          <w:b w:val="0"/>
          <w:i w:val="0"/>
        </w:rPr>
        <w:t>This Policy is designed for businesses that own, lease or use motor vehicles for their business.</w:t>
      </w:r>
    </w:p>
    <w:p>
      <w:r>
        <w:rPr>
          <w:b w:val="0"/>
          <w:i w:val="0"/>
        </w:rPr>
        <w:t>This wording is written for businesses and professionals. Some buyers, such as small businesses, may be retail clients under the Corporations Act 2001 (Cth). Where a buyer is a retail client, the issuer must give a Product Disclosure Statement and make a Target Market Determination available. This wording is not itself a Product Disclosure Statement. Where this Policy is issued to a retail client, the issuer must also meet the General Insurance Code of Practice.</w:t>
      </w:r>
    </w:p>
    <w:p>
      <w:r>
        <w:rPr>
          <w:b w:val="0"/>
          <w:i w:val="0"/>
        </w:rPr>
        <w:t xml:space="preserve">This Policy is intended to be entered into for business purposes, so the duty of disclosure in </w:t>
      </w:r>
      <w:hyperlink w:anchor="c_mot_cond_duty_of_disclosure">
        <w:r>
          <w:rPr>
            <w:color w:val="2E5C4E"/>
            <w:u w:val="single"/>
          </w:rPr>
          <w:t xml:space="preserve">the Your Duty of Disclosure condition</w:t>
        </w:r>
      </w:hyperlink>
      <w:r>
        <w:rPr>
          <w:b w:val="0"/>
          <w:i w:val="0"/>
        </w:rPr>
        <w:t xml:space="preserve"> applies. If it is a consumer insurance contract, that clause says which duty applies instead. [WP REVIEW: confirm whether a sole trader or partnership insuring a vehicle for business use is a consumer insurance contract under the Insurance Contracts Act 1984 (Cth), and so which duty applies.]</w:t>
      </w:r>
    </w:p>
    <w:p>
      <w:r>
        <w:rPr>
          <w:b w:val="0"/>
          <w:i w:val="0"/>
        </w:rPr>
        <w:t>Where the insured or one of the insureds is a natural person, the Policy may be a prescribed contract for motor vehicle insurance under the Insurance Contracts Act 1984 (Cth) and the Insurance Contracts Regulations 2017 (Cth). The issuer must then clearly inform the insured in writing, before the contract is entered into, of each way in which this Policy differs from standard cover, and must check any change to a Default Schedule Value against that list. [WP REVIEW: list the departures from prescribed motor standard cover in this wording, and confirm whether a sole trader or partnership insuring vehicles of 2 tonnes carrying capacity or less is a prescribed contract.]</w:t>
      </w:r>
    </w:p>
    <w:p>
      <w:bookmarkStart w:id="2" w:name="c_mot_ctp_notice"/>
      <w:r>
        <w:rPr>
          <w:rFonts w:ascii="Georgia" w:hAnsi="Georgia" w:eastAsia="Georgia"/>
          <w:b/>
          <w:i w:val="0"/>
          <w:color w:val="1C1915"/>
          <w:sz w:val="32"/>
        </w:rPr>
        <w:t>Compulsory Third Party Insurance</w:t>
      </w:r>
      <w:bookmarkEnd w:id="2"/>
    </w:p>
    <w:p>
      <w:r>
        <w:rPr>
          <w:b w:val="0"/>
          <w:i w:val="0"/>
        </w:rPr>
        <w:t xml:space="preserve">This Policy is not compulsory third party (CTP) insurance. CTP is a separate statutory insurance, arranged through each State or Territory scheme, that covers liability for death or bodily injury caused by a motor vehicle. You must keep CTP, or registration that includes it, in force for every registrable Insured vehicle. </w:t>
      </w:r>
      <w:hyperlink w:anchor="c_mot_ext_supplementary_bodily_injury">
        <w:r>
          <w:rPr>
            <w:color w:val="2E5C4E"/>
            <w:u w:val="single"/>
          </w:rPr>
          <w:t xml:space="preserve">The Supplementary Bodily Injury extension</w:t>
        </w:r>
      </w:hyperlink>
      <w:r>
        <w:rPr>
          <w:b w:val="0"/>
          <w:i w:val="0"/>
        </w:rPr>
        <w:t xml:space="preserve"> gives limited cover only where no CTP or statutory scheme responds.</w:t>
      </w:r>
    </w:p>
    <w:p>
      <w:bookmarkStart w:id="3" w:name="c_mot_version_history"/>
      <w:r>
        <w:rPr>
          <w:rFonts w:ascii="Georgia" w:hAnsi="Georgia" w:eastAsia="Georgia"/>
          <w:b/>
          <w:i w:val="0"/>
          <w:color w:val="1C1915"/>
          <w:sz w:val="32"/>
        </w:rPr>
        <w:t>Version and Document History</w:t>
      </w:r>
      <w:bookmarkEnd w:id="3"/>
    </w:p>
    <w:p>
      <w:r>
        <w:rPr>
          <w:b w:val="0"/>
          <w:i w:val="0"/>
        </w:rPr>
        <w:t xml:space="preserve">This document is version-controlled. The version and date shown on the cover page and in the footer of each page govern this text. </w:t>
      </w:r>
      <w:hyperlink w:anchor="c_mot_cond_version_of_this_wording">
        <w:r>
          <w:rPr>
            <w:color w:val="2E5C4E"/>
            <w:u w:val="single"/>
          </w:rPr>
          <w:t xml:space="preserve">The Version of This Wording condition</w:t>
        </w:r>
      </w:hyperlink>
      <w:r>
        <w:rPr>
          <w:b w:val="0"/>
          <w:i w:val="0"/>
        </w:rPr>
        <w:t xml:space="preserve"> says which version applies to your Policy.</w:t>
      </w:r>
    </w:p>
    <w:p>
      <w:bookmarkStart w:id="4" w:name="c_mot_schedule"/>
      <w:r>
        <w:rPr>
          <w:rFonts w:ascii="Georgia" w:hAnsi="Georgia" w:eastAsia="Georgia"/>
          <w:b/>
          <w:i w:val="0"/>
          <w:color w:val="1C1915"/>
          <w:sz w:val="32"/>
        </w:rPr>
        <w:t>Schedule</w:t>
      </w:r>
      <w:bookmarkEnd w:id="4"/>
    </w:p>
    <w:p>
      <w:r>
        <w:rPr>
          <w:b w:val="0"/>
          <w:i w:val="0"/>
        </w:rPr>
        <w:t>(Completed separately for each policy. It contains your specific details.)</w:t>
      </w:r>
    </w:p>
    <w:p>
      <w:r>
        <w:rPr>
          <w:b w:val="0"/>
          <w:i w:val="0"/>
        </w:rPr>
        <w:t>The Schedule shows:</w:t>
      </w:r>
    </w:p>
    <w:p>
      <w:pPr>
        <w:pStyle w:val="ListBullet"/>
      </w:pPr>
      <w:r>
        <w:rPr>
          <w:b w:val="0"/>
          <w:i w:val="0"/>
        </w:rPr>
        <w:t>The named insured, ABN and contact details</w:t>
      </w:r>
    </w:p>
    <w:p>
      <w:pPr>
        <w:pStyle w:val="ListBullet"/>
      </w:pPr>
      <w:r>
        <w:rPr>
          <w:b w:val="0"/>
          <w:i w:val="0"/>
        </w:rPr>
        <w:t>The Period of Insurance</w:t>
      </w:r>
    </w:p>
    <w:p>
      <w:pPr>
        <w:pStyle w:val="ListBullet"/>
      </w:pPr>
      <w:r>
        <w:rPr>
          <w:b w:val="0"/>
          <w:i w:val="0"/>
        </w:rPr>
        <w:t>The vehicle schedule: for each Insured vehicle, its registration, make, model and year, vehicle type, Permitted use, garaging postcode, cover level, value basis and Sum insured, and any Excess or Endorsement that applies to that vehicle only</w:t>
      </w:r>
    </w:p>
    <w:p>
      <w:pPr>
        <w:pStyle w:val="ListBullet"/>
      </w:pPr>
      <w:r>
        <w:rPr>
          <w:b w:val="0"/>
          <w:i w:val="0"/>
        </w:rPr>
        <w:t>Whether the Policy is written on a Fleet basis and, if it is, the declaration basis and frequency</w:t>
      </w:r>
    </w:p>
    <w:p>
      <w:pPr>
        <w:pStyle w:val="ListBullet"/>
      </w:pPr>
      <w:r>
        <w:rPr>
          <w:b w:val="0"/>
          <w:i w:val="0"/>
        </w:rPr>
        <w:t>The driver basis: any authorised driver, or the named drivers</w:t>
      </w:r>
    </w:p>
    <w:p>
      <w:pPr>
        <w:pStyle w:val="ListBullet"/>
      </w:pPr>
      <w:r>
        <w:rPr>
          <w:b w:val="0"/>
          <w:i w:val="0"/>
        </w:rPr>
        <w:t>The third party property damage limit and the sub-limits for supplementary bodily injury and Dangerous goods</w:t>
      </w:r>
    </w:p>
    <w:p>
      <w:pPr>
        <w:pStyle w:val="ListBullet"/>
      </w:pPr>
      <w:r>
        <w:rPr>
          <w:b w:val="0"/>
          <w:i w:val="0"/>
        </w:rPr>
        <w:t>The Excesses</w:t>
      </w:r>
    </w:p>
    <w:p>
      <w:pPr>
        <w:pStyle w:val="ListBullet"/>
      </w:pPr>
      <w:r>
        <w:rPr>
          <w:b w:val="0"/>
          <w:i w:val="0"/>
        </w:rPr>
        <w:t xml:space="preserve">Sub-limits and other values that differ from the defaults in </w:t>
      </w:r>
      <w:hyperlink w:anchor="c_mot_appendix_default_schedule_values">
        <w:r>
          <w:rPr>
            <w:color w:val="2E5C4E"/>
            <w:u w:val="single"/>
          </w:rPr>
          <w:t xml:space="preserve">the Default Schedule Values</w:t>
        </w:r>
      </w:hyperlink>
    </w:p>
    <w:p>
      <w:pPr>
        <w:pStyle w:val="ListBullet"/>
      </w:pPr>
      <w:r>
        <w:rPr>
          <w:b w:val="0"/>
          <w:i w:val="0"/>
        </w:rPr>
        <w:t>The premium, with stamp duty, levies and GST</w:t>
      </w:r>
    </w:p>
    <w:p>
      <w:pPr>
        <w:pStyle w:val="ListBullet"/>
      </w:pPr>
      <w:r>
        <w:rPr>
          <w:b w:val="0"/>
          <w:i w:val="0"/>
        </w:rPr>
        <w:t xml:space="preserve">The State or Territory whose law governs this Policy (see </w:t>
      </w:r>
      <w:hyperlink w:anchor="c_mot_cond_governing_law_and_jurisdictio">
        <w:r>
          <w:rPr>
            <w:color w:val="2E5C4E"/>
            <w:u w:val="single"/>
          </w:rPr>
          <w:t xml:space="preserve">the Governing Law and Jurisdiction condition</w:t>
        </w:r>
      </w:hyperlink>
      <w:r>
        <w:rPr>
          <w:b w:val="0"/>
          <w:i w:val="0"/>
        </w:rPr>
        <w:t>)</w:t>
      </w:r>
    </w:p>
    <w:p>
      <w:pPr>
        <w:pStyle w:val="ListBullet"/>
      </w:pPr>
      <w:r>
        <w:rPr>
          <w:b w:val="0"/>
          <w:i w:val="0"/>
        </w:rPr>
        <w:t>The Endorsements that apply, by code, with their variables</w:t>
      </w:r>
    </w:p>
    <w:p>
      <w:pPr>
        <w:pStyle w:val="ListBullet"/>
      </w:pPr>
      <w:r>
        <w:rPr>
          <w:b w:val="0"/>
          <w:i w:val="0"/>
        </w:rPr>
        <w:t>Interested parties, such as financiers and lessors</w:t>
      </w:r>
    </w:p>
    <w:p>
      <w:bookmarkStart w:id="5" w:name="c_mot_section_definitions"/>
      <w:r>
        <w:rPr>
          <w:rFonts w:ascii="Georgia" w:hAnsi="Georgia" w:eastAsia="Georgia"/>
          <w:b/>
          <w:i w:val="0"/>
          <w:color w:val="1C1915"/>
          <w:sz w:val="32"/>
        </w:rPr>
        <w:t>Definitions</w:t>
      </w:r>
      <w:bookmarkEnd w:id="5"/>
    </w:p>
    <w:p>
      <w:r>
        <w:rPr>
          <w:b w:val="0"/>
          <w:i w:val="0"/>
        </w:rPr>
        <w:t>These words have the meanings below wherever they appear in this Policy, the Schedule or an Endorsement, with a capital letter. The singular includes the plural.</w:t>
      </w:r>
    </w:p>
    <w:tbl>
      <w:tblPr>
        <w:tblStyle w:val="TableGrid"/>
        <w:tblW w:type="auto" w:w="0"/>
        <w:tblLayout w:type="fixed"/>
        <w:tblLook w:firstColumn="1" w:firstRow="1" w:lastColumn="0" w:lastRow="0" w:noHBand="0" w:noVBand="1" w:val="04A0"/>
      </w:tblPr>
      <w:tblGrid>
        <w:gridCol w:w="4873"/>
        <w:gridCol w:w="4873"/>
      </w:tblGrid>
      <w:tr>
        <w:tc>
          <w:tcPr>
            <w:tcW w:type="dxa" w:w="2608"/>
          </w:tcPr>
          <w:p>
            <w:bookmarkStart w:id="6" w:name="c_mot_def_accidental_loss_or_damage"/>
            <w:r>
              <w:rPr>
                <w:b/>
                <w:i w:val="0"/>
              </w:rPr>
              <w:t>Accidental Loss or Damage</w:t>
            </w:r>
            <w:bookmarkEnd w:id="6"/>
          </w:p>
        </w:tc>
        <w:tc>
          <w:tcPr>
            <w:tcW w:type="dxa" w:w="6803"/>
          </w:tcPr>
          <w:p>
            <w:r>
              <w:rPr>
                <w:b w:val="0"/>
                <w:i w:val="0"/>
              </w:rPr>
              <w:t>Sudden, unintended and unexpected physical loss or damage. It does not include deliberate damage or gradual deterioration.</w:t>
            </w:r>
          </w:p>
        </w:tc>
      </w:tr>
      <w:tr>
        <w:tc>
          <w:tcPr>
            <w:tcW w:type="dxa" w:w="2608"/>
          </w:tcPr>
          <w:p>
            <w:bookmarkStart w:id="7" w:name="c_mot_def_agreed_value"/>
            <w:r>
              <w:rPr>
                <w:b/>
                <w:i w:val="0"/>
              </w:rPr>
              <w:t>Agreed Value</w:t>
            </w:r>
            <w:bookmarkEnd w:id="7"/>
          </w:p>
        </w:tc>
        <w:tc>
          <w:tcPr>
            <w:tcW w:type="dxa" w:w="6803"/>
          </w:tcPr>
          <w:p>
            <w:r>
              <w:rPr>
                <w:b w:val="0"/>
                <w:i w:val="0"/>
              </w:rPr>
              <w:t>The value shown in the Schedule for a specific Insured vehicle, agreed between you and us at inception or renewal. It includes standard equipment, accessories, modifications and signwriting unless the Schedule says otherwise.</w:t>
            </w:r>
          </w:p>
        </w:tc>
      </w:tr>
      <w:tr>
        <w:tc>
          <w:tcPr>
            <w:tcW w:type="dxa" w:w="2608"/>
          </w:tcPr>
          <w:p>
            <w:bookmarkStart w:id="8" w:name="c_mot_def_control_group"/>
            <w:r>
              <w:rPr>
                <w:b/>
                <w:i w:val="0"/>
              </w:rPr>
              <w:t>Control Group</w:t>
            </w:r>
            <w:bookmarkEnd w:id="8"/>
          </w:p>
        </w:tc>
        <w:tc>
          <w:tcPr>
            <w:tcW w:type="dxa" w:w="6803"/>
          </w:tcPr>
          <w:p>
            <w:r>
              <w:rPr>
                <w:b w:val="0"/>
                <w:i w:val="0"/>
              </w:rPr>
              <w:t>The chief executive officer, chief financial officer, general counsel, head of risk or insurance, and directors of the Named insured, or a person performing an equivalent role. Where the Named insured is an individual, the Control group is that individual.</w:t>
            </w:r>
          </w:p>
        </w:tc>
      </w:tr>
      <w:tr>
        <w:tc>
          <w:tcPr>
            <w:tcW w:type="dxa" w:w="2608"/>
          </w:tcPr>
          <w:p>
            <w:bookmarkStart w:id="9" w:name="c_mot_def_dangerous_goods"/>
            <w:r>
              <w:rPr>
                <w:b/>
                <w:i w:val="0"/>
              </w:rPr>
              <w:t>Dangerous Goods</w:t>
            </w:r>
            <w:bookmarkEnd w:id="9"/>
          </w:p>
        </w:tc>
        <w:tc>
          <w:tcPr>
            <w:tcW w:type="dxa" w:w="6803"/>
          </w:tcPr>
          <w:p>
            <w:r>
              <w:rPr>
                <w:b w:val="0"/>
                <w:i w:val="0"/>
              </w:rPr>
              <w:t>Goods that are dangerous goods under the Australian Code for the Transport of Dangerous Goods by Road and Rail, or under the law of the State or Territory where they are carried.</w:t>
            </w:r>
          </w:p>
        </w:tc>
      </w:tr>
      <w:tr>
        <w:tc>
          <w:tcPr>
            <w:tcW w:type="dxa" w:w="2608"/>
          </w:tcPr>
          <w:p>
            <w:bookmarkStart w:id="10" w:name="c_mot_def_declaration_date"/>
            <w:r>
              <w:rPr>
                <w:b/>
                <w:i w:val="0"/>
              </w:rPr>
              <w:t>Declaration Date</w:t>
            </w:r>
            <w:bookmarkEnd w:id="10"/>
          </w:p>
        </w:tc>
        <w:tc>
          <w:tcPr>
            <w:tcW w:type="dxa" w:w="6803"/>
          </w:tcPr>
          <w:p>
            <w:r>
              <w:rPr>
                <w:b w:val="0"/>
                <w:i w:val="0"/>
              </w:rPr>
              <w:t>Each date shown in the Schedule by which you must declare changes to the vehicles insured under a Fleet basis.</w:t>
            </w:r>
          </w:p>
        </w:tc>
      </w:tr>
      <w:tr>
        <w:tc>
          <w:tcPr>
            <w:tcW w:type="dxa" w:w="2608"/>
          </w:tcPr>
          <w:p>
            <w:bookmarkStart w:id="11" w:name="c_mot_def_endorsement"/>
            <w:r>
              <w:rPr>
                <w:b/>
                <w:i w:val="0"/>
              </w:rPr>
              <w:t>Endorsement</w:t>
            </w:r>
            <w:bookmarkEnd w:id="11"/>
          </w:p>
        </w:tc>
        <w:tc>
          <w:tcPr>
            <w:tcW w:type="dxa" w:w="6803"/>
          </w:tcPr>
          <w:p>
            <w:r>
              <w:rPr>
                <w:b w:val="0"/>
                <w:i w:val="0"/>
              </w:rPr>
              <w:t>A written change to this Policy that we issue, shown in the Schedule by its code.</w:t>
            </w:r>
          </w:p>
        </w:tc>
      </w:tr>
      <w:tr>
        <w:tc>
          <w:tcPr>
            <w:tcW w:type="dxa" w:w="2608"/>
          </w:tcPr>
          <w:p>
            <w:bookmarkStart w:id="12" w:name="c_mot_def_excess"/>
            <w:r>
              <w:rPr>
                <w:b/>
                <w:i w:val="0"/>
              </w:rPr>
              <w:t>Excess</w:t>
            </w:r>
            <w:bookmarkEnd w:id="12"/>
          </w:p>
        </w:tc>
        <w:tc>
          <w:tcPr>
            <w:tcW w:type="dxa" w:w="6803"/>
          </w:tcPr>
          <w:p>
            <w:r>
              <w:rPr>
                <w:b w:val="0"/>
                <w:i w:val="0"/>
              </w:rPr>
              <w:t>The amount you bear as the first part of each claim, as shown in the Schedule.</w:t>
            </w:r>
          </w:p>
        </w:tc>
      </w:tr>
      <w:tr>
        <w:tc>
          <w:tcPr>
            <w:tcW w:type="dxa" w:w="2608"/>
          </w:tcPr>
          <w:p>
            <w:bookmarkStart w:id="13" w:name="c_mot_def_fleet_basis"/>
            <w:r>
              <w:rPr>
                <w:b/>
                <w:i w:val="0"/>
              </w:rPr>
              <w:t>Fleet Basis</w:t>
            </w:r>
            <w:bookmarkEnd w:id="13"/>
          </w:p>
        </w:tc>
        <w:tc>
          <w:tcPr>
            <w:tcW w:type="dxa" w:w="6803"/>
          </w:tcPr>
          <w:p>
            <w:r>
              <w:rPr>
                <w:b w:val="0"/>
                <w:i w:val="0"/>
              </w:rPr>
              <w:t>A Policy that the Schedule shows is written on a fleet basis. Unless we agree otherwise, a Policy is written on a fleet basis where 10 or more vehicles are insured.</w:t>
            </w:r>
          </w:p>
        </w:tc>
      </w:tr>
      <w:tr>
        <w:tc>
          <w:tcPr>
            <w:tcW w:type="dxa" w:w="2608"/>
          </w:tcPr>
          <w:p>
            <w:bookmarkStart w:id="14" w:name="c_mot_def_insured_person"/>
            <w:r>
              <w:rPr>
                <w:b/>
                <w:i w:val="0"/>
              </w:rPr>
              <w:t>Insured Person</w:t>
            </w:r>
            <w:bookmarkEnd w:id="14"/>
          </w:p>
        </w:tc>
        <w:tc>
          <w:tcPr>
            <w:tcW w:type="dxa" w:w="6803"/>
          </w:tcPr>
          <w:p>
            <w:r>
              <w:rPr>
                <w:b w:val="0"/>
                <w:i w:val="0"/>
              </w:rPr>
              <w:t xml:space="preserve">A person or entity described in </w:t>
            </w:r>
            <w:hyperlink w:anchor="c_mot_cover_who_is_covered">
              <w:r>
                <w:rPr>
                  <w:color w:val="2E5C4E"/>
                  <w:u w:val="single"/>
                </w:rPr>
                <w:t xml:space="preserve">the Who Is Covered clause</w:t>
              </w:r>
            </w:hyperlink>
            <w:r>
              <w:rPr>
                <w:b w:val="0"/>
                <w:i w:val="0"/>
              </w:rPr>
              <w:t>.</w:t>
            </w:r>
          </w:p>
        </w:tc>
      </w:tr>
      <w:tr>
        <w:tc>
          <w:tcPr>
            <w:tcW w:type="dxa" w:w="2608"/>
          </w:tcPr>
          <w:p>
            <w:bookmarkStart w:id="15" w:name="c_mot_def_insured_vehicle"/>
            <w:r>
              <w:rPr>
                <w:b/>
                <w:i w:val="0"/>
              </w:rPr>
              <w:t>Insured Vehicle</w:t>
            </w:r>
            <w:bookmarkEnd w:id="15"/>
          </w:p>
        </w:tc>
        <w:tc>
          <w:tcPr>
            <w:tcW w:type="dxa" w:w="6803"/>
          </w:tcPr>
          <w:p>
            <w:r>
              <w:rPr>
                <w:b w:val="0"/>
                <w:i w:val="0"/>
              </w:rPr>
              <w:t xml:space="preserve">Each motor vehicle shown in the Schedule, including its standard equipment, accessories, modifications and signwriting, and any vehicle covered under </w:t>
            </w:r>
            <w:hyperlink w:anchor="c_mot_fleet_automatic_cover">
              <w:r>
                <w:rPr>
                  <w:color w:val="2E5C4E"/>
                  <w:u w:val="single"/>
                </w:rPr>
                <w:t xml:space="preserve">the Automatic Cover for New and Replacement Vehicles extension</w:t>
              </w:r>
            </w:hyperlink>
            <w:r>
              <w:rPr>
                <w:b w:val="0"/>
                <w:i w:val="0"/>
              </w:rPr>
              <w:t xml:space="preserve">, </w:t>
            </w:r>
            <w:hyperlink w:anchor="c_mot_fleet_courtesy_vehicles">
              <w:r>
                <w:rPr>
                  <w:color w:val="2E5C4E"/>
                  <w:u w:val="single"/>
                </w:rPr>
                <w:t xml:space="preserve">the Courtesy and Loan Vehicles extension</w:t>
              </w:r>
            </w:hyperlink>
            <w:r>
              <w:rPr>
                <w:b w:val="0"/>
                <w:i w:val="0"/>
              </w:rPr>
              <w:t xml:space="preserve"> or </w:t>
            </w:r>
            <w:hyperlink w:anchor="c_mot_fleet_undeclared_vehicles">
              <w:r>
                <w:rPr>
                  <w:color w:val="2E5C4E"/>
                  <w:u w:val="single"/>
                </w:rPr>
                <w:t xml:space="preserve">the Undeclared Vehicles extension</w:t>
              </w:r>
            </w:hyperlink>
            <w:r>
              <w:rPr>
                <w:b w:val="0"/>
                <w:i w:val="0"/>
              </w:rPr>
              <w:t>.</w:t>
            </w:r>
          </w:p>
        </w:tc>
      </w:tr>
      <w:tr>
        <w:tc>
          <w:tcPr>
            <w:tcW w:type="dxa" w:w="2608"/>
          </w:tcPr>
          <w:p>
            <w:bookmarkStart w:id="16" w:name="c_mot_def_market_value"/>
            <w:r>
              <w:rPr>
                <w:b/>
                <w:i w:val="0"/>
              </w:rPr>
              <w:t>Market Value</w:t>
            </w:r>
            <w:bookmarkEnd w:id="16"/>
          </w:p>
        </w:tc>
        <w:tc>
          <w:tcPr>
            <w:tcW w:type="dxa" w:w="6803"/>
          </w:tcPr>
          <w:p>
            <w:r>
              <w:rPr>
                <w:b w:val="0"/>
                <w:i w:val="0"/>
              </w:rPr>
              <w:t>The reasonable retail selling price of the vehicle immediately before the loss, having regard to its make, model, age, condition and kilometres travelled.</w:t>
            </w:r>
          </w:p>
        </w:tc>
      </w:tr>
      <w:tr>
        <w:tc>
          <w:tcPr>
            <w:tcW w:type="dxa" w:w="2608"/>
          </w:tcPr>
          <w:p>
            <w:bookmarkStart w:id="17" w:name="c_mot_def_named_insured"/>
            <w:r>
              <w:rPr>
                <w:b/>
                <w:i w:val="0"/>
              </w:rPr>
              <w:t>Named Insured</w:t>
            </w:r>
            <w:bookmarkEnd w:id="17"/>
          </w:p>
        </w:tc>
        <w:tc>
          <w:tcPr>
            <w:tcW w:type="dxa" w:w="6803"/>
          </w:tcPr>
          <w:p>
            <w:r>
              <w:rPr>
                <w:b w:val="0"/>
                <w:i w:val="0"/>
              </w:rPr>
              <w:t>The person or entity shown in the Schedule as the named insured.</w:t>
            </w:r>
          </w:p>
        </w:tc>
      </w:tr>
      <w:tr>
        <w:tc>
          <w:tcPr>
            <w:tcW w:type="dxa" w:w="2608"/>
          </w:tcPr>
          <w:p>
            <w:bookmarkStart w:id="18" w:name="c_mot_def_not_at_fault"/>
            <w:r>
              <w:rPr>
                <w:b/>
                <w:i w:val="0"/>
              </w:rPr>
              <w:t>Not at Fault</w:t>
            </w:r>
            <w:bookmarkEnd w:id="18"/>
          </w:p>
        </w:tc>
        <w:tc>
          <w:tcPr>
            <w:tcW w:type="dxa" w:w="6803"/>
          </w:tcPr>
          <w:p>
            <w:r>
              <w:rPr>
                <w:b w:val="0"/>
                <w:i w:val="0"/>
              </w:rPr>
              <w:t xml:space="preserve">A driver is Not at fault for an Occurrence where, on the evidence reasonably available to us, the driver did not cause or contribute to it. We decide this reasonably and in good faith, and we give you our reasons in writing. If you disagree, you may ask us to review the decision, and you may complain under </w:t>
            </w:r>
            <w:hyperlink w:anchor="c_mot_cond_complaints">
              <w:r>
                <w:rPr>
                  <w:color w:val="2E5C4E"/>
                  <w:u w:val="single"/>
                </w:rPr>
                <w:t xml:space="preserve">the Complaints and Disputes condition</w:t>
              </w:r>
            </w:hyperlink>
            <w:r>
              <w:rPr>
                <w:b w:val="0"/>
                <w:i w:val="0"/>
              </w:rPr>
              <w:t>.</w:t>
            </w:r>
          </w:p>
        </w:tc>
      </w:tr>
      <w:tr>
        <w:tc>
          <w:tcPr>
            <w:tcW w:type="dxa" w:w="2608"/>
          </w:tcPr>
          <w:p>
            <w:bookmarkStart w:id="19" w:name="c_mot_def_occurrence"/>
            <w:r>
              <w:rPr>
                <w:b/>
                <w:i w:val="0"/>
              </w:rPr>
              <w:t>Occurrence</w:t>
            </w:r>
            <w:bookmarkEnd w:id="19"/>
          </w:p>
        </w:tc>
        <w:tc>
          <w:tcPr>
            <w:tcW w:type="dxa" w:w="6803"/>
          </w:tcPr>
          <w:p>
            <w:r>
              <w:rPr>
                <w:b w:val="0"/>
                <w:i w:val="0"/>
              </w:rPr>
              <w:t>An event, or a series of events arising from one source or original cause, that results in loss, damage or liability neither expected nor intended by an Insured person.</w:t>
            </w:r>
          </w:p>
        </w:tc>
      </w:tr>
      <w:tr>
        <w:tc>
          <w:tcPr>
            <w:tcW w:type="dxa" w:w="2608"/>
          </w:tcPr>
          <w:p>
            <w:bookmarkStart w:id="20" w:name="c_mot_def_period_of_insurance"/>
            <w:r>
              <w:rPr>
                <w:b/>
                <w:i w:val="0"/>
              </w:rPr>
              <w:t>Period of Insurance</w:t>
            </w:r>
            <w:bookmarkEnd w:id="20"/>
          </w:p>
        </w:tc>
        <w:tc>
          <w:tcPr>
            <w:tcW w:type="dxa" w:w="6803"/>
          </w:tcPr>
          <w:p>
            <w:r>
              <w:rPr>
                <w:b w:val="0"/>
                <w:i w:val="0"/>
              </w:rPr>
              <w:t>The period shown in the Schedule, unless the Policy is cancelled earlier.</w:t>
            </w:r>
          </w:p>
        </w:tc>
      </w:tr>
      <w:tr>
        <w:tc>
          <w:tcPr>
            <w:tcW w:type="dxa" w:w="2608"/>
          </w:tcPr>
          <w:p>
            <w:bookmarkStart w:id="21" w:name="c_mot_def_permitted_use"/>
            <w:r>
              <w:rPr>
                <w:b/>
                <w:i w:val="0"/>
              </w:rPr>
              <w:t>Permitted Use</w:t>
            </w:r>
            <w:bookmarkEnd w:id="21"/>
          </w:p>
        </w:tc>
        <w:tc>
          <w:tcPr>
            <w:tcW w:type="dxa" w:w="6803"/>
          </w:tcPr>
          <w:p>
            <w:r>
              <w:rPr>
                <w:b w:val="0"/>
                <w:i w:val="0"/>
              </w:rPr>
              <w:t>The use shown in the Schedule for each Insured vehicle. Unless the Schedule says otherwise, Permitted use is business and private use, excluding use for hire, fare or reward.</w:t>
            </w:r>
          </w:p>
        </w:tc>
      </w:tr>
      <w:tr>
        <w:tc>
          <w:tcPr>
            <w:tcW w:type="dxa" w:w="2608"/>
          </w:tcPr>
          <w:p>
            <w:bookmarkStart w:id="22" w:name="c_mot_def_schedule"/>
            <w:r>
              <w:rPr>
                <w:b/>
                <w:i w:val="0"/>
              </w:rPr>
              <w:t>Schedule</w:t>
            </w:r>
            <w:bookmarkEnd w:id="22"/>
          </w:p>
        </w:tc>
        <w:tc>
          <w:tcPr>
            <w:tcW w:type="dxa" w:w="6803"/>
          </w:tcPr>
          <w:p>
            <w:r>
              <w:rPr>
                <w:b w:val="0"/>
                <w:i w:val="0"/>
              </w:rPr>
              <w:t>The document we issue with this Policy, including the vehicle schedule, any declarations and any Endorsement, as most recently issued.</w:t>
            </w:r>
          </w:p>
        </w:tc>
      </w:tr>
      <w:tr>
        <w:tc>
          <w:tcPr>
            <w:tcW w:type="dxa" w:w="2608"/>
          </w:tcPr>
          <w:p>
            <w:bookmarkStart w:id="23" w:name="c_mot_def_substitute_vehicle"/>
            <w:r>
              <w:rPr>
                <w:b/>
                <w:i w:val="0"/>
              </w:rPr>
              <w:t>Substitute Vehicle</w:t>
            </w:r>
            <w:bookmarkEnd w:id="23"/>
          </w:p>
        </w:tc>
        <w:tc>
          <w:tcPr>
            <w:tcW w:type="dxa" w:w="6803"/>
          </w:tcPr>
          <w:p>
            <w:r>
              <w:rPr>
                <w:b w:val="0"/>
                <w:i w:val="0"/>
              </w:rPr>
              <w:t xml:space="preserve">A vehicle you use temporarily, for no longer than 30 days, while an Insured vehicle is being repaired or serviced or cannot be used because of breakdown or loss, where the substitute vehicle is not owned by you. </w:t>
            </w:r>
            <w:hyperlink w:anchor="c_mot_ext_substitute_vehicles">
              <w:r>
                <w:rPr>
                  <w:color w:val="2E5C4E"/>
                  <w:u w:val="single"/>
                </w:rPr>
                <w:t xml:space="preserve">Substitute Vehicles</w:t>
              </w:r>
            </w:hyperlink>
            <w:r>
              <w:rPr>
                <w:b w:val="0"/>
                <w:i w:val="0"/>
              </w:rPr>
              <w:t xml:space="preserve"> sets out the cover.</w:t>
            </w:r>
          </w:p>
        </w:tc>
      </w:tr>
      <w:tr>
        <w:tc>
          <w:tcPr>
            <w:tcW w:type="dxa" w:w="2608"/>
          </w:tcPr>
          <w:p>
            <w:bookmarkStart w:id="24" w:name="c_mot_def_sum_insured"/>
            <w:r>
              <w:rPr>
                <w:b/>
                <w:i w:val="0"/>
              </w:rPr>
              <w:t>Sum Insured</w:t>
            </w:r>
            <w:bookmarkEnd w:id="24"/>
          </w:p>
        </w:tc>
        <w:tc>
          <w:tcPr>
            <w:tcW w:type="dxa" w:w="6803"/>
          </w:tcPr>
          <w:p>
            <w:r>
              <w:rPr>
                <w:b w:val="0"/>
                <w:i w:val="0"/>
              </w:rPr>
              <w:t>The amount shown in the Schedule for each Insured vehicle.</w:t>
            </w:r>
          </w:p>
        </w:tc>
      </w:tr>
      <w:tr>
        <w:tc>
          <w:tcPr>
            <w:tcW w:type="dxa" w:w="2608"/>
          </w:tcPr>
          <w:p>
            <w:bookmarkStart w:id="25" w:name="c_mot_def_tool_of_trade"/>
            <w:r>
              <w:rPr>
                <w:b/>
                <w:i w:val="0"/>
              </w:rPr>
              <w:t>Tool of Trade</w:t>
            </w:r>
            <w:bookmarkEnd w:id="25"/>
          </w:p>
        </w:tc>
        <w:tc>
          <w:tcPr>
            <w:tcW w:type="dxa" w:w="6803"/>
          </w:tcPr>
          <w:p>
            <w:r>
              <w:rPr>
                <w:b w:val="0"/>
                <w:i w:val="0"/>
              </w:rPr>
              <w:t>The use of a vehicle, or of plant attached to it, as plant at a work site (for example digging, lifting, spraying, pumping or tipping) rather than its being driven as a means of transport.</w:t>
            </w:r>
          </w:p>
        </w:tc>
      </w:tr>
      <w:tr>
        <w:tc>
          <w:tcPr>
            <w:tcW w:type="dxa" w:w="2608"/>
          </w:tcPr>
          <w:p>
            <w:bookmarkStart w:id="26" w:name="c_mot_def_total_loss"/>
            <w:r>
              <w:rPr>
                <w:b/>
                <w:i w:val="0"/>
              </w:rPr>
              <w:t>Total Loss</w:t>
            </w:r>
            <w:bookmarkEnd w:id="26"/>
          </w:p>
        </w:tc>
        <w:tc>
          <w:tcPr>
            <w:tcW w:type="dxa" w:w="6803"/>
          </w:tcPr>
          <w:p>
            <w:r>
              <w:rPr>
                <w:b w:val="0"/>
                <w:i w:val="0"/>
              </w:rPr>
              <w:t>An Insured vehicle that is damaged beyond economic repair, or that is stolen and not recovered within the period shown in the Schedule.</w:t>
            </w:r>
          </w:p>
        </w:tc>
      </w:tr>
      <w:tr>
        <w:tc>
          <w:tcPr>
            <w:tcW w:type="dxa" w:w="2608"/>
          </w:tcPr>
          <w:p>
            <w:bookmarkStart w:id="27" w:name="c_mot_def_we_us_our"/>
            <w:r>
              <w:rPr>
                <w:b/>
                <w:i w:val="0"/>
              </w:rPr>
              <w:t>We, Us, Our</w:t>
            </w:r>
            <w:bookmarkEnd w:id="27"/>
          </w:p>
        </w:tc>
        <w:tc>
          <w:tcPr>
            <w:tcW w:type="dxa" w:w="6803"/>
          </w:tcPr>
          <w:p>
            <w:r>
              <w:rPr>
                <w:b w:val="0"/>
                <w:i w:val="0"/>
              </w:rPr>
              <w:t>The insurer named in the Schedule.</w:t>
            </w:r>
          </w:p>
        </w:tc>
      </w:tr>
      <w:tr>
        <w:tc>
          <w:tcPr>
            <w:tcW w:type="dxa" w:w="2608"/>
          </w:tcPr>
          <w:p>
            <w:bookmarkStart w:id="28" w:name="c_mot_def_you_your"/>
            <w:r>
              <w:rPr>
                <w:b/>
                <w:i w:val="0"/>
              </w:rPr>
              <w:t>You, Your</w:t>
            </w:r>
            <w:bookmarkEnd w:id="28"/>
          </w:p>
        </w:tc>
        <w:tc>
          <w:tcPr>
            <w:tcW w:type="dxa" w:w="6803"/>
          </w:tcPr>
          <w:p>
            <w:r>
              <w:rPr>
                <w:b w:val="0"/>
                <w:i w:val="0"/>
              </w:rPr>
              <w:t>The Named insured. Where the Named insured is not an individual, what you know, intend or consent to is what a member of the Control group knows, intends or consents to. Every Insured person has the cover described in this Policy, but only the Named insured owes the disclosure, declaration and premium obligations.</w:t>
            </w:r>
          </w:p>
        </w:tc>
      </w:tr>
    </w:tbl>
    <w:p>
      <w:bookmarkStart w:id="29" w:name="c_mot_section_vehicle_cover"/>
      <w:r>
        <w:rPr>
          <w:rFonts w:ascii="Georgia" w:hAnsi="Georgia" w:eastAsia="Georgia"/>
          <w:b/>
          <w:i w:val="0"/>
          <w:color w:val="1C1915"/>
          <w:sz w:val="32"/>
        </w:rPr>
        <w:t>Cover for Your Vehicles</w:t>
      </w:r>
      <w:bookmarkEnd w:id="29"/>
    </w:p>
    <w:p>
      <w:r>
        <w:rPr>
          <w:b w:val="0"/>
          <w:i w:val="0"/>
        </w:rPr>
        <w:t>This section applies to each Insured vehicle shown in the Schedule as Comprehensive or as Third party, fire and theft. It does not apply to a vehicle shown as Third party only.</w:t>
      </w:r>
    </w:p>
    <w:p>
      <w:bookmarkStart w:id="30" w:name="c_mot_cover_comprehensive"/>
      <w:r>
        <w:rPr>
          <w:rFonts w:ascii="Georgia" w:hAnsi="Georgia" w:eastAsia="Georgia"/>
          <w:b/>
          <w:i w:val="0"/>
          <w:color w:val="2E5C4E"/>
          <w:sz w:val="25"/>
        </w:rPr>
        <w:t>Comprehensive</w:t>
      </w:r>
      <w:bookmarkEnd w:id="30"/>
    </w:p>
    <w:p>
      <w:r>
        <w:rPr>
          <w:b w:val="0"/>
          <w:i w:val="0"/>
        </w:rPr>
        <w:t xml:space="preserve">If an Insured vehicle shown as Comprehensive suffers Accidental loss or damage during the Period of Insurance, we will pay for the loss or damage as set out in </w:t>
      </w:r>
      <w:hyperlink w:anchor="c_mot_pay_basis_of_settlement">
        <w:r>
          <w:rPr>
            <w:color w:val="2E5C4E"/>
            <w:u w:val="single"/>
          </w:rPr>
          <w:t xml:space="preserve">the Basis of Settlement provision</w:t>
        </w:r>
      </w:hyperlink>
      <w:r>
        <w:rPr>
          <w:b w:val="0"/>
          <w:i w:val="0"/>
        </w:rPr>
        <w:t>. This includes Accidental loss or damage caused by collision or overturning; fire, lightning or explosion; theft or attempted theft; storm, flood, hail or cyclone; malicious damage or vandalism; falling objects; impact with an animal; immersion in water; and landslide, subsidence or earthquake.</w:t>
      </w:r>
    </w:p>
    <w:p>
      <w:bookmarkStart w:id="31" w:name="c_mot_cover_third_party_fire_and_theft"/>
      <w:r>
        <w:rPr>
          <w:rFonts w:ascii="Georgia" w:hAnsi="Georgia" w:eastAsia="Georgia"/>
          <w:b/>
          <w:i w:val="0"/>
          <w:color w:val="2E5C4E"/>
          <w:sz w:val="25"/>
        </w:rPr>
        <w:t>Third Party, Fire and Theft</w:t>
      </w:r>
      <w:bookmarkEnd w:id="31"/>
    </w:p>
    <w:p>
      <w:r>
        <w:rPr>
          <w:b w:val="0"/>
          <w:i w:val="0"/>
        </w:rPr>
        <w:t xml:space="preserve">If an Insured vehicle shown as Third party, fire and theft suffers loss or damage during the Period of Insurance caused by fire, lightning or explosion, or by theft or attempted theft, we will pay for the loss or damage as set out in </w:t>
      </w:r>
      <w:hyperlink w:anchor="c_mot_pay_basis_of_settlement">
        <w:r>
          <w:rPr>
            <w:color w:val="2E5C4E"/>
            <w:u w:val="single"/>
          </w:rPr>
          <w:t xml:space="preserve">the Basis of Settlement provision</w:t>
        </w:r>
      </w:hyperlink>
      <w:r>
        <w:rPr>
          <w:b w:val="0"/>
          <w:i w:val="0"/>
        </w:rPr>
        <w:t xml:space="preserve">. This cover does not include collision, malicious damage, storm, flood or any other accidental damage to the Insured vehicle, except as </w:t>
      </w:r>
      <w:hyperlink w:anchor="c_mot_ext_uninsured_motorist">
        <w:r>
          <w:rPr>
            <w:color w:val="2E5C4E"/>
            <w:u w:val="single"/>
          </w:rPr>
          <w:t xml:space="preserve">Uninsured Motorist Damage</w:t>
        </w:r>
      </w:hyperlink>
      <w:r>
        <w:rPr>
          <w:b w:val="0"/>
          <w:i w:val="0"/>
        </w:rPr>
        <w:t xml:space="preserve"> provides.</w:t>
      </w:r>
    </w:p>
    <w:p>
      <w:bookmarkStart w:id="32" w:name="c_mot_pay_basis_of_settlement"/>
      <w:r>
        <w:rPr>
          <w:rFonts w:ascii="Georgia" w:hAnsi="Georgia" w:eastAsia="Georgia"/>
          <w:b/>
          <w:i w:val="0"/>
          <w:color w:val="2E5C4E"/>
          <w:sz w:val="25"/>
        </w:rPr>
        <w:t>Basis of Settlement</w:t>
      </w:r>
      <w:bookmarkEnd w:id="32"/>
    </w:p>
    <w:p>
      <w:r>
        <w:rPr>
          <w:b w:val="0"/>
          <w:i w:val="0"/>
        </w:rPr>
        <w:t>We settle a claim for loss of or damage to an Insured vehicle on the value basis shown for it in the Schedule:</w:t>
      </w:r>
    </w:p>
    <w:tbl>
      <w:tblPr>
        <w:tblStyle w:val="TableGrid"/>
        <w:tblW w:type="auto" w:w="0"/>
        <w:tblLook w:firstColumn="1" w:firstRow="1" w:lastColumn="0" w:lastRow="0" w:noHBand="0" w:noVBand="1" w:val="04A0"/>
      </w:tblPr>
      <w:tblGrid>
        <w:gridCol w:w="4873"/>
        <w:gridCol w:w="4873"/>
      </w:tblGrid>
      <w:tr>
        <w:tc>
          <w:tcPr>
            <w:tcW w:type="dxa" w:w="4873"/>
          </w:tcPr>
          <w:p>
            <w:r/>
            <w:r>
              <w:rPr>
                <w:b w:val="0"/>
                <w:i w:val="0"/>
              </w:rPr>
              <w:t>Value basis</w:t>
            </w:r>
          </w:p>
        </w:tc>
        <w:tc>
          <w:tcPr>
            <w:tcW w:type="dxa" w:w="4873"/>
          </w:tcPr>
          <w:p>
            <w:r/>
            <w:r>
              <w:rPr>
                <w:b w:val="0"/>
                <w:i w:val="0"/>
              </w:rPr>
              <w:t>How we settle a Total loss</w:t>
            </w:r>
          </w:p>
        </w:tc>
      </w:tr>
      <w:tr>
        <w:tc>
          <w:tcPr>
            <w:tcW w:type="dxa" w:w="4873"/>
          </w:tcPr>
          <w:p>
            <w:r/>
            <w:r>
              <w:rPr>
                <w:b w:val="0"/>
                <w:i w:val="0"/>
              </w:rPr>
              <w:t>Market value (the default)</w:t>
            </w:r>
          </w:p>
        </w:tc>
        <w:tc>
          <w:tcPr>
            <w:tcW w:type="dxa" w:w="4873"/>
          </w:tcPr>
          <w:p>
            <w:r/>
            <w:r>
              <w:rPr>
                <w:b w:val="0"/>
                <w:i w:val="0"/>
              </w:rPr>
              <w:t>We pay the Market value of the vehicle immediately before the loss, up to its Sum insured, less the Excess</w:t>
            </w:r>
          </w:p>
        </w:tc>
      </w:tr>
      <w:tr>
        <w:tc>
          <w:tcPr>
            <w:tcW w:type="dxa" w:w="4873"/>
          </w:tcPr>
          <w:p>
            <w:r/>
            <w:r>
              <w:rPr>
                <w:b w:val="0"/>
                <w:i w:val="0"/>
              </w:rPr>
              <w:t>Agreed value</w:t>
            </w:r>
          </w:p>
        </w:tc>
        <w:tc>
          <w:tcPr>
            <w:tcW w:type="dxa" w:w="4873"/>
          </w:tcPr>
          <w:p>
            <w:r/>
            <w:r>
              <w:rPr>
                <w:b w:val="0"/>
                <w:i w:val="0"/>
              </w:rPr>
              <w:t>We pay the Agreed value shown in the Schedule, less the Excess</w:t>
            </w:r>
          </w:p>
        </w:tc>
      </w:tr>
    </w:tbl>
    <w:p>
      <w:r>
        <w:rPr>
          <w:b w:val="0"/>
          <w:i w:val="0"/>
        </w:rPr>
        <w:t xml:space="preserve">Where the vehicle can be economically repaired, we settle as set out in </w:t>
      </w:r>
      <w:hyperlink w:anchor="c_mot_pay_repairs">
        <w:r>
          <w:rPr>
            <w:color w:val="2E5C4E"/>
            <w:u w:val="single"/>
          </w:rPr>
          <w:t xml:space="preserve">the Repairs provision</w:t>
        </w:r>
      </w:hyperlink>
      <w:r>
        <w:rPr>
          <w:b w:val="0"/>
          <w:i w:val="0"/>
        </w:rPr>
        <w:t xml:space="preserve">. Where it is a Total loss, </w:t>
      </w:r>
      <w:hyperlink w:anchor="c_mot_pay_total_loss">
        <w:r>
          <w:rPr>
            <w:color w:val="2E5C4E"/>
            <w:u w:val="single"/>
          </w:rPr>
          <w:t xml:space="preserve">the Total Loss provision</w:t>
        </w:r>
      </w:hyperlink>
      <w:r>
        <w:rPr>
          <w:b w:val="0"/>
          <w:i w:val="0"/>
        </w:rPr>
        <w:t xml:space="preserve"> applies.</w:t>
      </w:r>
    </w:p>
    <w:p>
      <w:bookmarkStart w:id="33" w:name="c_mot_pay_repairs"/>
      <w:r>
        <w:rPr>
          <w:rFonts w:ascii="Georgia" w:hAnsi="Georgia" w:eastAsia="Georgia"/>
          <w:b/>
          <w:i w:val="0"/>
          <w:color w:val="2E5C4E"/>
          <w:sz w:val="25"/>
        </w:rPr>
        <w:t>Repairs</w:t>
      </w:r>
      <w:bookmarkEnd w:id="33"/>
    </w:p>
    <w:p>
      <w:r>
        <w:rPr>
          <w:b w:val="0"/>
          <w:i w:val="0"/>
        </w:rPr>
        <w:t xml:space="preserve">Where an Insured vehicle can be economically repaired, we may pay you the reasonable cost of repair, or arrange the repair. </w:t>
      </w:r>
      <w:hyperlink w:anchor="c_mot_pay_choice_of_repairer">
        <w:r>
          <w:rPr>
            <w:color w:val="2E5C4E"/>
            <w:u w:val="single"/>
          </w:rPr>
          <w:t xml:space="preserve">The Choice of Repairer provision</w:t>
        </w:r>
      </w:hyperlink>
      <w:r>
        <w:rPr>
          <w:b w:val="0"/>
          <w:i w:val="0"/>
        </w:rPr>
        <w:t xml:space="preserve"> applies to who repairs the vehicle. We do not use second-hand or non-genuine parts without your consent, except where the vehicle is more than five years old and genuine parts are not reasonably available. We will not pay for an improvement in the vehicle's condition beyond its condition before the loss, except where the only reasonable repair is with new parts.</w:t>
      </w:r>
    </w:p>
    <w:p>
      <w:bookmarkStart w:id="34" w:name="c_mot_pay_total_loss"/>
      <w:r>
        <w:rPr>
          <w:rFonts w:ascii="Georgia" w:hAnsi="Georgia" w:eastAsia="Georgia"/>
          <w:b/>
          <w:i w:val="0"/>
          <w:color w:val="2E5C4E"/>
          <w:sz w:val="25"/>
        </w:rPr>
        <w:t>Total Loss</w:t>
      </w:r>
      <w:bookmarkEnd w:id="34"/>
    </w:p>
    <w:p>
      <w:r>
        <w:rPr>
          <w:b w:val="0"/>
          <w:i w:val="0"/>
        </w:rPr>
        <w:t xml:space="preserve">Where an Insured vehicle is a Total loss, we pay on the value basis shown in the Schedule, less the Excess and any unpaid premium for that vehicle. Cover for that vehicle then ends, and no premium is refunded for it. Where the Schedule names a financier, </w:t>
      </w:r>
      <w:hyperlink w:anchor="c_mot_cond_subrogation_and_interested_pa">
        <w:r>
          <w:rPr>
            <w:color w:val="2E5C4E"/>
            <w:u w:val="single"/>
          </w:rPr>
          <w:t xml:space="preserve">the Subrogation and Interested Parties condition</w:t>
        </w:r>
      </w:hyperlink>
      <w:r>
        <w:rPr>
          <w:b w:val="0"/>
          <w:i w:val="0"/>
        </w:rPr>
        <w:t xml:space="preserve"> applies to the payment.</w:t>
      </w:r>
    </w:p>
    <w:p>
      <w:bookmarkStart w:id="35" w:name="c_mot_pay_new_vehicle_replacement"/>
      <w:r>
        <w:rPr>
          <w:rFonts w:ascii="Georgia" w:hAnsi="Georgia" w:eastAsia="Georgia"/>
          <w:b/>
          <w:i w:val="0"/>
          <w:color w:val="2E5C4E"/>
          <w:sz w:val="25"/>
        </w:rPr>
        <w:t>New Vehicle Replacement</w:t>
      </w:r>
      <w:bookmarkEnd w:id="35"/>
    </w:p>
    <w:p>
      <w:r>
        <w:rPr>
          <w:b w:val="0"/>
          <w:i w:val="0"/>
        </w:rPr>
        <w:t>If an Insured vehicle shown as Comprehensive is a Total loss within the period shown in the Schedule after its first registration as a new vehicle, and its gross vehicle mass does not exceed the limit shown in the Schedule, we will replace it with a new vehicle of the same make, model and specification, including on-road costs, where one is reasonably available in Australia. The most we pay is the percentage of the Sum insured shown in the Schedule. If a replacement is not reasonably available, we pay on the value basis shown in the Schedule.</w:t>
      </w:r>
    </w:p>
    <w:p>
      <w:bookmarkStart w:id="36" w:name="c_mot_pay_choice_of_repairer"/>
      <w:r>
        <w:rPr>
          <w:rFonts w:ascii="Georgia" w:hAnsi="Georgia" w:eastAsia="Georgia"/>
          <w:b/>
          <w:i w:val="0"/>
          <w:color w:val="2E5C4E"/>
          <w:sz w:val="25"/>
        </w:rPr>
        <w:t>Choice of Repairer</w:t>
      </w:r>
      <w:bookmarkEnd w:id="36"/>
    </w:p>
    <w:p>
      <w:r>
        <w:rPr>
          <w:b w:val="0"/>
          <w:i w:val="0"/>
        </w:rPr>
        <w:t>You may choose your own repairer. If you use a repairer we recommend, we guarantee the quality of the repairs for as long as you own the vehicle. If you use your own repairer, we pay the reasonable cost of repair, which may be less than your repairer's quote if their charges exceed the prevailing market rate for that work. Where we are a signatory to the Motor Vehicle Insurance and Repair Industry Code of Conduct, or a State scheme applies, estimates, authorisations and disputes with repairers are handled in accordance with it.</w:t>
      </w:r>
    </w:p>
    <w:p>
      <w:bookmarkStart w:id="37" w:name="c_mot_ext_additional_benefits"/>
      <w:r>
        <w:rPr>
          <w:rFonts w:ascii="Georgia" w:hAnsi="Georgia" w:eastAsia="Georgia"/>
          <w:b/>
          <w:i w:val="0"/>
          <w:color w:val="2E5C4E"/>
          <w:sz w:val="25"/>
        </w:rPr>
        <w:t>Additional Benefits</w:t>
      </w:r>
      <w:bookmarkEnd w:id="37"/>
    </w:p>
    <w:p>
      <w:r>
        <w:rPr>
          <w:b w:val="0"/>
          <w:i w:val="0"/>
        </w:rPr>
        <w:t xml:space="preserve">These benefits are paid in addition to the Sum insured, for the cover levels shown, up to the limits shown in the Schedule or, if none is shown, in </w:t>
      </w:r>
      <w:hyperlink w:anchor="c_mot_appendix_default_schedule_values">
        <w:r>
          <w:rPr>
            <w:color w:val="2E5C4E"/>
            <w:u w:val="single"/>
          </w:rPr>
          <w:t xml:space="preserve">the Default Schedule Values</w:t>
        </w:r>
      </w:hyperlink>
      <w:r>
        <w:rPr>
          <w:b w:val="0"/>
          <w:i w:val="0"/>
        </w:rPr>
        <w:t>. No Excess applies to them unless the Schedule says otherwise.</w:t>
      </w:r>
    </w:p>
    <w:tbl>
      <w:tblPr>
        <w:tblStyle w:val="TableGrid"/>
        <w:tblW w:type="auto" w:w="0"/>
        <w:tblLook w:firstColumn="1" w:firstRow="1" w:lastColumn="0" w:lastRow="0" w:noHBand="0" w:noVBand="1" w:val="04A0"/>
      </w:tblPr>
      <w:tblGrid>
        <w:gridCol w:w="3249"/>
        <w:gridCol w:w="3249"/>
        <w:gridCol w:w="3249"/>
      </w:tblGrid>
      <w:tr>
        <w:tc>
          <w:tcPr>
            <w:tcW w:type="dxa" w:w="3249"/>
          </w:tcPr>
          <w:p>
            <w:r/>
            <w:r>
              <w:rPr>
                <w:b w:val="0"/>
                <w:i w:val="0"/>
              </w:rPr>
              <w:t>Benefit</w:t>
            </w:r>
          </w:p>
        </w:tc>
        <w:tc>
          <w:tcPr>
            <w:tcW w:type="dxa" w:w="3249"/>
          </w:tcPr>
          <w:p>
            <w:r/>
            <w:r>
              <w:rPr>
                <w:b w:val="0"/>
                <w:i w:val="0"/>
              </w:rPr>
              <w:t>Cover levels</w:t>
            </w:r>
          </w:p>
        </w:tc>
        <w:tc>
          <w:tcPr>
            <w:tcW w:type="dxa" w:w="3249"/>
          </w:tcPr>
          <w:p>
            <w:r/>
            <w:r>
              <w:rPr>
                <w:b w:val="0"/>
                <w:i w:val="0"/>
              </w:rPr>
              <w:t>What we pay</w:t>
            </w:r>
          </w:p>
        </w:tc>
      </w:tr>
      <w:tr>
        <w:tc>
          <w:tcPr>
            <w:tcW w:type="dxa" w:w="3249"/>
          </w:tcPr>
          <w:p>
            <w:r/>
            <w:r>
              <w:rPr>
                <w:b w:val="0"/>
                <w:i w:val="0"/>
              </w:rPr>
              <w:t>Hire vehicle after theft or Total loss</w:t>
            </w:r>
          </w:p>
        </w:tc>
        <w:tc>
          <w:tcPr>
            <w:tcW w:type="dxa" w:w="3249"/>
          </w:tcPr>
          <w:p>
            <w:r/>
            <w:r>
              <w:rPr>
                <w:b w:val="0"/>
                <w:i w:val="0"/>
              </w:rPr>
              <w:t>Comprehensive; Third party, fire and theft</w:t>
            </w:r>
          </w:p>
        </w:tc>
        <w:tc>
          <w:tcPr>
            <w:tcW w:type="dxa" w:w="3249"/>
          </w:tcPr>
          <w:p>
            <w:r/>
            <w:r>
              <w:rPr>
                <w:b w:val="0"/>
                <w:i w:val="0"/>
              </w:rPr>
              <w:t>The reasonable cost of hiring a similar vehicle, per day, until the claim is settled</w:t>
            </w:r>
          </w:p>
        </w:tc>
      </w:tr>
      <w:tr>
        <w:tc>
          <w:tcPr>
            <w:tcW w:type="dxa" w:w="3249"/>
          </w:tcPr>
          <w:p>
            <w:r/>
            <w:r>
              <w:rPr>
                <w:b w:val="0"/>
                <w:i w:val="0"/>
              </w:rPr>
              <w:t>Hire vehicle after accident</w:t>
            </w:r>
          </w:p>
        </w:tc>
        <w:tc>
          <w:tcPr>
            <w:tcW w:type="dxa" w:w="3249"/>
          </w:tcPr>
          <w:p>
            <w:r/>
            <w:r>
              <w:rPr>
                <w:b w:val="0"/>
                <w:i w:val="0"/>
              </w:rPr>
              <w:t>Comprehensive</w:t>
            </w:r>
          </w:p>
        </w:tc>
        <w:tc>
          <w:tcPr>
            <w:tcW w:type="dxa" w:w="3249"/>
          </w:tcPr>
          <w:p>
            <w:r/>
            <w:r>
              <w:rPr>
                <w:b w:val="0"/>
                <w:i w:val="0"/>
              </w:rPr>
              <w:t>The reasonable cost of hiring a similar vehicle, per day, until the repair is complete, where the driver was Not at fault and the other party is identified</w:t>
            </w:r>
          </w:p>
        </w:tc>
      </w:tr>
      <w:tr>
        <w:tc>
          <w:tcPr>
            <w:tcW w:type="dxa" w:w="3249"/>
          </w:tcPr>
          <w:p>
            <w:r/>
            <w:r>
              <w:rPr>
                <w:b w:val="0"/>
                <w:i w:val="0"/>
              </w:rPr>
              <w:t>Towing and recovery</w:t>
            </w:r>
          </w:p>
        </w:tc>
        <w:tc>
          <w:tcPr>
            <w:tcW w:type="dxa" w:w="3249"/>
          </w:tcPr>
          <w:p>
            <w:r/>
            <w:r>
              <w:rPr>
                <w:b w:val="0"/>
                <w:i w:val="0"/>
              </w:rPr>
              <w:t>Comprehensive; Third party, fire and theft</w:t>
            </w:r>
          </w:p>
        </w:tc>
        <w:tc>
          <w:tcPr>
            <w:tcW w:type="dxa" w:w="3249"/>
          </w:tcPr>
          <w:p>
            <w:r/>
            <w:r>
              <w:rPr>
                <w:b w:val="0"/>
                <w:i w:val="0"/>
              </w:rPr>
              <w:t>The reasonable cost of moving the vehicle to the nearest repairer or a safe place</w:t>
            </w:r>
          </w:p>
        </w:tc>
      </w:tr>
      <w:tr>
        <w:tc>
          <w:tcPr>
            <w:tcW w:type="dxa" w:w="3249"/>
          </w:tcPr>
          <w:p>
            <w:r/>
            <w:r>
              <w:rPr>
                <w:b w:val="0"/>
                <w:i w:val="0"/>
              </w:rPr>
              <w:t>Emergency repairs</w:t>
            </w:r>
          </w:p>
        </w:tc>
        <w:tc>
          <w:tcPr>
            <w:tcW w:type="dxa" w:w="3249"/>
          </w:tcPr>
          <w:p>
            <w:r/>
            <w:r>
              <w:rPr>
                <w:b w:val="0"/>
                <w:i w:val="0"/>
              </w:rPr>
              <w:t>Comprehensive</w:t>
            </w:r>
          </w:p>
        </w:tc>
        <w:tc>
          <w:tcPr>
            <w:tcW w:type="dxa" w:w="3249"/>
          </w:tcPr>
          <w:p>
            <w:r/>
            <w:r>
              <w:rPr>
                <w:b w:val="0"/>
                <w:i w:val="0"/>
              </w:rPr>
              <w:t>The reasonable cost of repairs needed to make the vehicle safe to drive home or to a repairer</w:t>
            </w:r>
          </w:p>
        </w:tc>
      </w:tr>
      <w:tr>
        <w:tc>
          <w:tcPr>
            <w:tcW w:type="dxa" w:w="3249"/>
          </w:tcPr>
          <w:p>
            <w:r/>
            <w:r>
              <w:rPr>
                <w:b w:val="0"/>
                <w:i w:val="0"/>
              </w:rPr>
              <w:t>Windscreen and window glass</w:t>
            </w:r>
          </w:p>
        </w:tc>
        <w:tc>
          <w:tcPr>
            <w:tcW w:type="dxa" w:w="3249"/>
          </w:tcPr>
          <w:p>
            <w:r/>
            <w:r>
              <w:rPr>
                <w:b w:val="0"/>
                <w:i w:val="0"/>
              </w:rPr>
              <w:t>Comprehensive</w:t>
            </w:r>
          </w:p>
        </w:tc>
        <w:tc>
          <w:tcPr>
            <w:tcW w:type="dxa" w:w="3249"/>
          </w:tcPr>
          <w:p>
            <w:r/>
            <w:r>
              <w:rPr>
                <w:b w:val="0"/>
                <w:i w:val="0"/>
              </w:rPr>
              <w:t>Replacement or repair of broken glass, with no Excess</w:t>
            </w:r>
          </w:p>
        </w:tc>
      </w:tr>
      <w:tr>
        <w:tc>
          <w:tcPr>
            <w:tcW w:type="dxa" w:w="3249"/>
          </w:tcPr>
          <w:p>
            <w:r/>
            <w:r>
              <w:rPr>
                <w:b w:val="0"/>
                <w:i w:val="0"/>
              </w:rPr>
              <w:t>Personal effects</w:t>
            </w:r>
          </w:p>
        </w:tc>
        <w:tc>
          <w:tcPr>
            <w:tcW w:type="dxa" w:w="3249"/>
          </w:tcPr>
          <w:p>
            <w:r/>
            <w:r>
              <w:rPr>
                <w:b w:val="0"/>
                <w:i w:val="0"/>
              </w:rPr>
              <w:t>Comprehensive</w:t>
            </w:r>
          </w:p>
        </w:tc>
        <w:tc>
          <w:tcPr>
            <w:tcW w:type="dxa" w:w="3249"/>
          </w:tcPr>
          <w:p>
            <w:r/>
            <w:r>
              <w:rPr>
                <w:b w:val="0"/>
                <w:i w:val="0"/>
              </w:rPr>
              <w:t>Personal effects in the vehicle lost or damaged in the same Occurrence, excluding money, jewellery and goods carried for business</w:t>
            </w:r>
          </w:p>
        </w:tc>
      </w:tr>
      <w:tr>
        <w:tc>
          <w:tcPr>
            <w:tcW w:type="dxa" w:w="3249"/>
          </w:tcPr>
          <w:p>
            <w:r/>
            <w:r>
              <w:rPr>
                <w:b w:val="0"/>
                <w:i w:val="0"/>
              </w:rPr>
              <w:t>Tools of trade</w:t>
            </w:r>
          </w:p>
        </w:tc>
        <w:tc>
          <w:tcPr>
            <w:tcW w:type="dxa" w:w="3249"/>
          </w:tcPr>
          <w:p>
            <w:r/>
            <w:r>
              <w:rPr>
                <w:b w:val="0"/>
                <w:i w:val="0"/>
              </w:rPr>
              <w:t>Comprehensive</w:t>
            </w:r>
          </w:p>
        </w:tc>
        <w:tc>
          <w:tcPr>
            <w:tcW w:type="dxa" w:w="3249"/>
          </w:tcPr>
          <w:p>
            <w:r/>
            <w:r>
              <w:rPr>
                <w:b w:val="0"/>
                <w:i w:val="0"/>
              </w:rPr>
              <w:t>Tools of trade owned by you or your employees lost or damaged in the same Occurrence</w:t>
            </w:r>
          </w:p>
        </w:tc>
      </w:tr>
      <w:tr>
        <w:tc>
          <w:tcPr>
            <w:tcW w:type="dxa" w:w="3249"/>
          </w:tcPr>
          <w:p>
            <w:r/>
            <w:r>
              <w:rPr>
                <w:b w:val="0"/>
                <w:i w:val="0"/>
              </w:rPr>
              <w:t>Locks and keys</w:t>
            </w:r>
          </w:p>
        </w:tc>
        <w:tc>
          <w:tcPr>
            <w:tcW w:type="dxa" w:w="3249"/>
          </w:tcPr>
          <w:p>
            <w:r/>
            <w:r>
              <w:rPr>
                <w:b w:val="0"/>
                <w:i w:val="0"/>
              </w:rPr>
              <w:t>Comprehensive; Third party, fire and theft</w:t>
            </w:r>
          </w:p>
        </w:tc>
        <w:tc>
          <w:tcPr>
            <w:tcW w:type="dxa" w:w="3249"/>
          </w:tcPr>
          <w:p>
            <w:r/>
            <w:r>
              <w:rPr>
                <w:b w:val="0"/>
                <w:i w:val="0"/>
              </w:rPr>
              <w:t>Replacing or recoding locks and keys after the keys are stolen</w:t>
            </w:r>
          </w:p>
        </w:tc>
      </w:tr>
      <w:tr>
        <w:tc>
          <w:tcPr>
            <w:tcW w:type="dxa" w:w="3249"/>
          </w:tcPr>
          <w:p>
            <w:r/>
            <w:r>
              <w:rPr>
                <w:b w:val="0"/>
                <w:i w:val="0"/>
              </w:rPr>
              <w:t>Child seats and restraints</w:t>
            </w:r>
          </w:p>
        </w:tc>
        <w:tc>
          <w:tcPr>
            <w:tcW w:type="dxa" w:w="3249"/>
          </w:tcPr>
          <w:p>
            <w:r/>
            <w:r>
              <w:rPr>
                <w:b w:val="0"/>
                <w:i w:val="0"/>
              </w:rPr>
              <w:t>Comprehensive</w:t>
            </w:r>
          </w:p>
        </w:tc>
        <w:tc>
          <w:tcPr>
            <w:tcW w:type="dxa" w:w="3249"/>
          </w:tcPr>
          <w:p>
            <w:r/>
            <w:r>
              <w:rPr>
                <w:b w:val="0"/>
                <w:i w:val="0"/>
              </w:rPr>
              <w:t>Replacing child seats and restraints damaged in the Occurrence</w:t>
            </w:r>
          </w:p>
        </w:tc>
      </w:tr>
      <w:tr>
        <w:tc>
          <w:tcPr>
            <w:tcW w:type="dxa" w:w="3249"/>
          </w:tcPr>
          <w:p>
            <w:r/>
            <w:r>
              <w:rPr>
                <w:b w:val="0"/>
                <w:i w:val="0"/>
              </w:rPr>
              <w:t>Trailer while attached</w:t>
            </w:r>
          </w:p>
        </w:tc>
        <w:tc>
          <w:tcPr>
            <w:tcW w:type="dxa" w:w="3249"/>
          </w:tcPr>
          <w:p>
            <w:r/>
            <w:r>
              <w:rPr>
                <w:b w:val="0"/>
                <w:i w:val="0"/>
              </w:rPr>
              <w:t>Comprehensive</w:t>
            </w:r>
          </w:p>
        </w:tc>
        <w:tc>
          <w:tcPr>
            <w:tcW w:type="dxa" w:w="3249"/>
          </w:tcPr>
          <w:p>
            <w:r/>
            <w:r>
              <w:rPr>
                <w:b w:val="0"/>
                <w:i w:val="0"/>
              </w:rPr>
              <w:t>Loss of or damage to a trailer you own while it is attached to the Insured vehicle</w:t>
            </w:r>
          </w:p>
        </w:tc>
      </w:tr>
      <w:tr>
        <w:tc>
          <w:tcPr>
            <w:tcW w:type="dxa" w:w="3249"/>
          </w:tcPr>
          <w:p>
            <w:r/>
            <w:r>
              <w:rPr>
                <w:b w:val="0"/>
                <w:i w:val="0"/>
              </w:rPr>
              <w:t>Emergency travel and accommodation</w:t>
            </w:r>
          </w:p>
        </w:tc>
        <w:tc>
          <w:tcPr>
            <w:tcW w:type="dxa" w:w="3249"/>
          </w:tcPr>
          <w:p>
            <w:r/>
            <w:r>
              <w:rPr>
                <w:b w:val="0"/>
                <w:i w:val="0"/>
              </w:rPr>
              <w:t>Comprehensive</w:t>
            </w:r>
          </w:p>
        </w:tc>
        <w:tc>
          <w:tcPr>
            <w:tcW w:type="dxa" w:w="3249"/>
          </w:tcPr>
          <w:p>
            <w:r/>
            <w:r>
              <w:rPr>
                <w:b w:val="0"/>
                <w:i w:val="0"/>
              </w:rPr>
              <w:t>Reasonable travel and accommodation costs where the vehicle cannot be driven after loss or damage more than the distance shown in the Schedule from its garaging address</w:t>
            </w:r>
          </w:p>
        </w:tc>
      </w:tr>
      <w:tr>
        <w:tc>
          <w:tcPr>
            <w:tcW w:type="dxa" w:w="3249"/>
          </w:tcPr>
          <w:p>
            <w:r/>
            <w:r>
              <w:rPr>
                <w:b w:val="0"/>
                <w:i w:val="0"/>
              </w:rPr>
              <w:t>Recovery after theft</w:t>
            </w:r>
          </w:p>
        </w:tc>
        <w:tc>
          <w:tcPr>
            <w:tcW w:type="dxa" w:w="3249"/>
          </w:tcPr>
          <w:p>
            <w:r/>
            <w:r>
              <w:rPr>
                <w:b w:val="0"/>
                <w:i w:val="0"/>
              </w:rPr>
              <w:t>Comprehensive; Third party, fire and theft</w:t>
            </w:r>
          </w:p>
        </w:tc>
        <w:tc>
          <w:tcPr>
            <w:tcW w:type="dxa" w:w="3249"/>
          </w:tcPr>
          <w:p>
            <w:r/>
            <w:r>
              <w:rPr>
                <w:b w:val="0"/>
                <w:i w:val="0"/>
              </w:rPr>
              <w:t>Reasonable costs of recovering and returning the vehicle after it is found</w:t>
            </w:r>
          </w:p>
        </w:tc>
      </w:tr>
      <w:tr>
        <w:tc>
          <w:tcPr>
            <w:tcW w:type="dxa" w:w="3249"/>
          </w:tcPr>
          <w:p>
            <w:r/>
            <w:r>
              <w:rPr>
                <w:b w:val="0"/>
                <w:i w:val="0"/>
              </w:rPr>
              <w:t>Employees' effects</w:t>
            </w:r>
          </w:p>
        </w:tc>
        <w:tc>
          <w:tcPr>
            <w:tcW w:type="dxa" w:w="3249"/>
          </w:tcPr>
          <w:p>
            <w:r/>
            <w:r>
              <w:rPr>
                <w:b w:val="0"/>
                <w:i w:val="0"/>
              </w:rPr>
              <w:t>Comprehensive</w:t>
            </w:r>
          </w:p>
        </w:tc>
        <w:tc>
          <w:tcPr>
            <w:tcW w:type="dxa" w:w="3249"/>
          </w:tcPr>
          <w:p>
            <w:r/>
            <w:r>
              <w:rPr>
                <w:b w:val="0"/>
                <w:i w:val="0"/>
              </w:rPr>
              <w:t>An employee's personal effects in the vehicle, where the driver is your employee</w:t>
            </w:r>
          </w:p>
        </w:tc>
      </w:tr>
    </w:tbl>
    <w:p>
      <w:r>
        <w:rPr>
          <w:b w:val="0"/>
          <w:i w:val="0"/>
        </w:rPr>
        <w:t xml:space="preserve">Signwriting, livery, modifications and accessories are part of the Insured vehicle and its Sum insured. You must tell us before inception or renewal where modifications and accessories on a vehicle are worth more than the amount shown in </w:t>
      </w:r>
      <w:hyperlink w:anchor="c_mot_appendix_default_schedule_values">
        <w:r>
          <w:rPr>
            <w:color w:val="2E5C4E"/>
            <w:u w:val="single"/>
          </w:rPr>
          <w:t xml:space="preserve">the Default Schedule Values</w:t>
        </w:r>
      </w:hyperlink>
      <w:r>
        <w:rPr>
          <w:b w:val="0"/>
          <w:i w:val="0"/>
        </w:rPr>
        <w:t>.</w:t>
      </w:r>
    </w:p>
    <w:p>
      <w:bookmarkStart w:id="38" w:name="c_mot_excl_vehicle_cover"/>
      <w:r>
        <w:rPr>
          <w:rFonts w:ascii="Georgia" w:hAnsi="Georgia" w:eastAsia="Georgia"/>
          <w:b/>
          <w:i w:val="0"/>
          <w:color w:val="2E5C4E"/>
          <w:sz w:val="25"/>
        </w:rPr>
        <w:t>What Is Not Covered for Your Vehicles</w:t>
      </w:r>
      <w:bookmarkEnd w:id="38"/>
    </w:p>
    <w:p>
      <w:r>
        <w:rPr>
          <w:b w:val="0"/>
          <w:i w:val="0"/>
        </w:rPr>
        <w:t xml:space="preserve">In addition to </w:t>
      </w:r>
      <w:hyperlink w:anchor="c_mot_section_general_exclusions">
        <w:r>
          <w:rPr>
            <w:color w:val="2E5C4E"/>
            <w:u w:val="single"/>
          </w:rPr>
          <w:t xml:space="preserve">the General Exclusions section</w:t>
        </w:r>
      </w:hyperlink>
      <w:r>
        <w:rPr>
          <w:b w:val="0"/>
          <w:i w:val="0"/>
        </w:rPr>
        <w:t xml:space="preserve">, we do not pay under </w:t>
      </w:r>
      <w:hyperlink w:anchor="c_mot_section_vehicle_cover">
        <w:r>
          <w:rPr>
            <w:color w:val="2E5C4E"/>
            <w:u w:val="single"/>
          </w:rPr>
          <w:t xml:space="preserve">Cover for Your Vehicles</w:t>
        </w:r>
      </w:hyperlink>
      <w:r>
        <w:rPr>
          <w:b w:val="0"/>
          <w:i w:val="0"/>
        </w:rPr>
        <w:t xml:space="preserve"> for:</w:t>
      </w:r>
    </w:p>
    <w:p>
      <w:pPr>
        <w:pStyle w:val="ListBullet"/>
      </w:pPr>
      <w:r>
        <w:rPr>
          <w:b w:val="0"/>
          <w:i w:val="0"/>
        </w:rPr>
        <w:t>mechanical, electrical or electronic breakdown, failure, wear and tear, rust or corrosion, unless caused by an insured event;</w:t>
      </w:r>
    </w:p>
    <w:p>
      <w:pPr>
        <w:pStyle w:val="ListBullet"/>
      </w:pPr>
      <w:r>
        <w:rPr>
          <w:b w:val="0"/>
          <w:i w:val="0"/>
        </w:rPr>
        <w:t>damage to tyres by road punctures, cuts or bursts, unless other insured damage to the vehicle happens at the same time;</w:t>
      </w:r>
    </w:p>
    <w:p>
      <w:pPr>
        <w:pStyle w:val="ListBullet"/>
      </w:pPr>
      <w:r>
        <w:rPr>
          <w:b w:val="0"/>
          <w:i w:val="0"/>
        </w:rPr>
        <w:t>loss of value or depreciation after a repair;</w:t>
      </w:r>
    </w:p>
    <w:p>
      <w:pPr>
        <w:pStyle w:val="ListBullet"/>
      </w:pPr>
      <w:r>
        <w:rPr>
          <w:b w:val="0"/>
          <w:i w:val="0"/>
        </w:rPr>
        <w:t xml:space="preserve">loss of use, loss of income or any other consequential loss, except the benefits in </w:t>
      </w:r>
      <w:hyperlink w:anchor="c_mot_ext_additional_benefits">
        <w:r>
          <w:rPr>
            <w:color w:val="2E5C4E"/>
            <w:u w:val="single"/>
          </w:rPr>
          <w:t xml:space="preserve">the Additional Benefits extension</w:t>
        </w:r>
      </w:hyperlink>
      <w:r>
        <w:rPr>
          <w:b w:val="0"/>
          <w:i w:val="0"/>
        </w:rPr>
        <w:t>; or</w:t>
      </w:r>
    </w:p>
    <w:p>
      <w:pPr>
        <w:pStyle w:val="ListBullet"/>
      </w:pPr>
      <w:r>
        <w:rPr>
          <w:b w:val="0"/>
          <w:i w:val="0"/>
        </w:rPr>
        <w:t>loss of or damage to a vehicle taken by a person who obtained it by deception or a dishonoured payment, unless you are a motor dealer and the Schedule shows that this risk is covered.</w:t>
      </w:r>
    </w:p>
    <w:p>
      <w:bookmarkStart w:id="39" w:name="c_mot_section_liability"/>
      <w:r>
        <w:rPr>
          <w:rFonts w:ascii="Georgia" w:hAnsi="Georgia" w:eastAsia="Georgia"/>
          <w:b/>
          <w:i w:val="0"/>
          <w:color w:val="1C1915"/>
          <w:sz w:val="32"/>
        </w:rPr>
        <w:t>Your Legal Liability</w:t>
      </w:r>
      <w:bookmarkEnd w:id="39"/>
    </w:p>
    <w:p>
      <w:r>
        <w:rPr>
          <w:b w:val="0"/>
          <w:i w:val="0"/>
        </w:rPr>
        <w:t>This section applies to every Insured vehicle, whatever its cover level.</w:t>
      </w:r>
    </w:p>
    <w:p>
      <w:bookmarkStart w:id="40" w:name="c_mot_cover_third_party_property_damage"/>
      <w:r>
        <w:rPr>
          <w:rFonts w:ascii="Georgia" w:hAnsi="Georgia" w:eastAsia="Georgia"/>
          <w:b/>
          <w:i w:val="0"/>
          <w:color w:val="2E5C4E"/>
          <w:sz w:val="25"/>
        </w:rPr>
        <w:t>Third Party Property Damage</w:t>
      </w:r>
      <w:bookmarkEnd w:id="40"/>
    </w:p>
    <w:p>
      <w:r>
        <w:rPr>
          <w:b w:val="0"/>
          <w:i w:val="0"/>
        </w:rPr>
        <w:t>If an Insured person becomes legally liable to pay compensation for damage to other people's property caused by an Occurrence during the Period of Insurance arising from the use of an Insured vehicle or a Substitute vehicle, we will pay that compensation, up to the third party property damage limit shown in the Schedule for each Occurrence. We also pay the reasonable legal costs of defending the claim that we incur or approve in writing; these costs are paid in addition to the limit.</w:t>
      </w:r>
    </w:p>
    <w:p>
      <w:bookmarkStart w:id="41" w:name="c_mot_cover_who_is_covered"/>
      <w:r>
        <w:rPr>
          <w:rFonts w:ascii="Georgia" w:hAnsi="Georgia" w:eastAsia="Georgia"/>
          <w:b/>
          <w:i w:val="0"/>
          <w:color w:val="2E5C4E"/>
          <w:sz w:val="25"/>
        </w:rPr>
        <w:t>Who Is Covered</w:t>
      </w:r>
      <w:bookmarkEnd w:id="41"/>
    </w:p>
    <w:p>
      <w:r>
        <w:rPr>
          <w:b w:val="0"/>
          <w:i w:val="0"/>
        </w:rPr>
        <w:t>Each of the following is an Insured person under this section: you; any person driving, using or in charge of an Insured vehicle with your permission; any passenger in, or getting into or out of, an Insured vehicle; and your employer or principal, where an Insured vehicle is being used in their business with your consent. Each Insured person is covered as if a separate policy had been issued to them, but our total liability for each Occurrence does not exceed the limits shown in the Schedule.</w:t>
      </w:r>
    </w:p>
    <w:p>
      <w:r>
        <w:rPr>
          <w:b w:val="0"/>
          <w:i w:val="0"/>
        </w:rPr>
        <w:t>Where an exclusion or condition of this Policy depends on what a person knew, intended or consented to, it applies to an Insured person only by reference to what that Insured person knew, intended or consented to. What one Insured person knew, intended or consented to is not attributed to another, except that the knowledge, intention and consent of a member of the Control group is the Named insured's.</w:t>
      </w:r>
    </w:p>
    <w:p>
      <w:bookmarkStart w:id="42" w:name="c_mot_ext_dangerous_goods"/>
      <w:r>
        <w:rPr>
          <w:rFonts w:ascii="Georgia" w:hAnsi="Georgia" w:eastAsia="Georgia"/>
          <w:b/>
          <w:i w:val="0"/>
          <w:color w:val="2E5C4E"/>
          <w:sz w:val="25"/>
        </w:rPr>
        <w:t>Dangerous Goods Liability</w:t>
      </w:r>
      <w:bookmarkEnd w:id="42"/>
    </w:p>
    <w:p>
      <w:r>
        <w:rPr>
          <w:b w:val="0"/>
          <w:i w:val="0"/>
        </w:rPr>
        <w:t xml:space="preserve">Where an Insured vehicle carries Dangerous goods in compliance with the law that applies to their carriage, </w:t>
      </w:r>
      <w:hyperlink w:anchor="c_mot_cover_third_party_property_damage">
        <w:r>
          <w:rPr>
            <w:color w:val="2E5C4E"/>
            <w:u w:val="single"/>
          </w:rPr>
          <w:t xml:space="preserve">the Third Party Property Damage clause</w:t>
        </w:r>
      </w:hyperlink>
      <w:r>
        <w:rPr>
          <w:b w:val="0"/>
          <w:i w:val="0"/>
        </w:rPr>
        <w:t xml:space="preserve"> applies to liability arising from the Dangerous goods, up to the Dangerous goods sub-limit shown in the Schedule for each Occurrence. The sub-limit is part of, not in addition to, the third party property damage limit. Carriage in breach of that law is excluded by </w:t>
      </w:r>
      <w:hyperlink w:anchor="c_mot_excl_liability">
        <w:r>
          <w:rPr>
            <w:color w:val="2E5C4E"/>
            <w:u w:val="single"/>
          </w:rPr>
          <w:t xml:space="preserve">the What Is Not Covered for Your Legal Liability exclusion</w:t>
        </w:r>
      </w:hyperlink>
      <w:r>
        <w:rPr>
          <w:b w:val="0"/>
          <w:i w:val="0"/>
        </w:rPr>
        <w:t>.</w:t>
      </w:r>
    </w:p>
    <w:p>
      <w:bookmarkStart w:id="43" w:name="c_mot_ext_supplementary_bodily_injury"/>
      <w:r>
        <w:rPr>
          <w:rFonts w:ascii="Georgia" w:hAnsi="Georgia" w:eastAsia="Georgia"/>
          <w:b/>
          <w:i w:val="0"/>
          <w:color w:val="2E5C4E"/>
          <w:sz w:val="25"/>
        </w:rPr>
        <w:t>Supplementary Bodily Injury</w:t>
      </w:r>
      <w:bookmarkEnd w:id="43"/>
    </w:p>
    <w:p>
      <w:r>
        <w:rPr>
          <w:b w:val="0"/>
          <w:i w:val="0"/>
        </w:rPr>
        <w:t>We will pay the compensation an Insured person becomes legally liable to pay for the death of, or bodily injury to, another person caused by an Occurrence during the Period of Insurance arising from the use of an Insured vehicle, but only to the extent that the liability is not covered by any compulsory third party insurance or statutory accident compensation scheme. Where a scheme pays part of the liability, we pay only the part it does not cover. This applies only where the vehicle was registered, and any required compulsory third party insurance was in force, at the time (or the vehicle was not required to be registered). The most we pay is the supplementary bodily injury sub-limit shown in the Schedule for each Occurrence, which is part of, not in addition to, the third party property damage limit.</w:t>
      </w:r>
    </w:p>
    <w:p>
      <w:r>
        <w:rPr>
          <w:b w:val="0"/>
          <w:i w:val="0"/>
        </w:rPr>
        <w:t>We also pay the reasonable legal costs of defending a claim under this extension that we incur or approve in writing. These costs are part of, not in addition to, the supplementary bodily injury sub-limit.</w:t>
      </w:r>
    </w:p>
    <w:p>
      <w:r>
        <w:rPr>
          <w:b w:val="0"/>
          <w:i w:val="0"/>
        </w:rPr>
        <w:t>We do not pay under this extension any amount a scheme has paid or would have paid had the registration, insurance and claim requirements of the scheme been met; death of or injury to the driver of the Insured vehicle; or fines, penalties or aggravated, punitive or exemplary damages.</w:t>
      </w:r>
    </w:p>
    <w:p>
      <w:r>
        <w:rPr>
          <w:b w:val="0"/>
          <w:i w:val="0"/>
        </w:rPr>
        <w:t>[WP REVIEW: confirm how this extension interacts with each State and Territory compulsory third party scheme, including claims the scheme pays in part or declines.]</w:t>
      </w:r>
    </w:p>
    <w:p>
      <w:bookmarkStart w:id="44" w:name="c_mot_ext_uninsured_motorist"/>
      <w:r>
        <w:rPr>
          <w:rFonts w:ascii="Georgia" w:hAnsi="Georgia" w:eastAsia="Georgia"/>
          <w:b/>
          <w:i w:val="0"/>
          <w:color w:val="2E5C4E"/>
          <w:sz w:val="25"/>
        </w:rPr>
        <w:t>Uninsured Motorist Damage</w:t>
      </w:r>
      <w:bookmarkEnd w:id="44"/>
    </w:p>
    <w:p>
      <w:r>
        <w:rPr>
          <w:b w:val="0"/>
          <w:i w:val="0"/>
        </w:rPr>
        <w:t>If an Insured vehicle shown as Third party, fire and theft or Third party only is damaged in a collision with another vehicle whose driver is uninsured, and the driver of the Insured vehicle was Not at fault, we will pay for the damage up to the amount shown in the Schedule, provided you give us the name and address of the other driver and the registration of their vehicle. For this extension, a driver is uninsured if no insurance responds to the damage the driver caused to the Insured vehicle.</w:t>
      </w:r>
    </w:p>
    <w:p>
      <w:bookmarkStart w:id="45" w:name="c_mot_ext_substitute_vehicles"/>
      <w:r>
        <w:rPr>
          <w:rFonts w:ascii="Georgia" w:hAnsi="Georgia" w:eastAsia="Georgia"/>
          <w:b/>
          <w:i w:val="0"/>
          <w:color w:val="2E5C4E"/>
          <w:sz w:val="25"/>
        </w:rPr>
        <w:t>Substitute Vehicles</w:t>
      </w:r>
      <w:bookmarkEnd w:id="45"/>
    </w:p>
    <w:p>
      <w:hyperlink w:anchor="c_mot_cover_third_party_property_damage">
        <w:r>
          <w:rPr>
            <w:color w:val="2E5C4E"/>
            <w:u w:val="single"/>
          </w:rPr>
          <w:t xml:space="preserve">The Third Party Property Damage clause</w:t>
        </w:r>
      </w:hyperlink>
      <w:r>
        <w:rPr>
          <w:b w:val="0"/>
          <w:i w:val="0"/>
        </w:rPr>
        <w:t xml:space="preserve"> extends to liability arising from the use of a Substitute vehicle, as though it were an Insured vehicle. It does not extend to loss of or damage to the Substitute vehicle itself. If the Substitute vehicle is also insured under another policy, </w:t>
      </w:r>
      <w:hyperlink w:anchor="c_mot_cond_other_insurance">
        <w:r>
          <w:rPr>
            <w:color w:val="2E5C4E"/>
            <w:u w:val="single"/>
          </w:rPr>
          <w:t xml:space="preserve">the Other Insurance condition</w:t>
        </w:r>
      </w:hyperlink>
      <w:r>
        <w:rPr>
          <w:b w:val="0"/>
          <w:i w:val="0"/>
        </w:rPr>
        <w:t xml:space="preserve"> applies. [WP REVIEW: confirm that relying on contribution, rather than a limit for vehicles insured elsewhere, is consistent with s 45 of the Insurance Contracts Act 1984 (Cth).]</w:t>
      </w:r>
    </w:p>
    <w:p>
      <w:bookmarkStart w:id="46" w:name="c_mot_ext_non_owned_trailers"/>
      <w:r>
        <w:rPr>
          <w:rFonts w:ascii="Georgia" w:hAnsi="Georgia" w:eastAsia="Georgia"/>
          <w:b/>
          <w:i w:val="0"/>
          <w:color w:val="2E5C4E"/>
          <w:sz w:val="25"/>
        </w:rPr>
        <w:t>Trailers</w:t>
      </w:r>
      <w:bookmarkEnd w:id="46"/>
    </w:p>
    <w:p>
      <w:hyperlink w:anchor="c_mot_cover_third_party_property_damage">
        <w:r>
          <w:rPr>
            <w:color w:val="2E5C4E"/>
            <w:u w:val="single"/>
          </w:rPr>
          <w:t xml:space="preserve">The Third Party Property Damage clause</w:t>
        </w:r>
      </w:hyperlink>
      <w:r>
        <w:rPr>
          <w:b w:val="0"/>
          <w:i w:val="0"/>
        </w:rPr>
        <w:t xml:space="preserve"> extends to liability arising from a trailer while it is attached to, or has accidentally become detached from, an Insured vehicle, whether or not you own it.</w:t>
      </w:r>
    </w:p>
    <w:p>
      <w:bookmarkStart w:id="47" w:name="c_mot_excl_liability"/>
      <w:r>
        <w:rPr>
          <w:rFonts w:ascii="Georgia" w:hAnsi="Georgia" w:eastAsia="Georgia"/>
          <w:b/>
          <w:i w:val="0"/>
          <w:color w:val="2E5C4E"/>
          <w:sz w:val="25"/>
        </w:rPr>
        <w:t>What Is Not Covered for Your Legal Liability</w:t>
      </w:r>
      <w:bookmarkEnd w:id="47"/>
    </w:p>
    <w:p>
      <w:r>
        <w:rPr>
          <w:b w:val="0"/>
          <w:i w:val="0"/>
        </w:rPr>
        <w:t xml:space="preserve">In addition to </w:t>
      </w:r>
      <w:hyperlink w:anchor="c_mot_section_general_exclusions">
        <w:r>
          <w:rPr>
            <w:color w:val="2E5C4E"/>
            <w:u w:val="single"/>
          </w:rPr>
          <w:t xml:space="preserve">the General Exclusions section</w:t>
        </w:r>
      </w:hyperlink>
      <w:r>
        <w:rPr>
          <w:b w:val="0"/>
          <w:i w:val="0"/>
        </w:rPr>
        <w:t xml:space="preserve">, we do not pay under </w:t>
      </w:r>
      <w:hyperlink w:anchor="c_mot_section_liability">
        <w:r>
          <w:rPr>
            <w:color w:val="2E5C4E"/>
            <w:u w:val="single"/>
          </w:rPr>
          <w:t xml:space="preserve">Your Legal Liability</w:t>
        </w:r>
      </w:hyperlink>
      <w:r>
        <w:rPr>
          <w:b w:val="0"/>
          <w:i w:val="0"/>
        </w:rPr>
        <w:t xml:space="preserve"> for liability:</w:t>
      </w:r>
    </w:p>
    <w:p>
      <w:pPr>
        <w:pStyle w:val="ListBullet"/>
      </w:pPr>
      <w:r>
        <w:rPr>
          <w:b w:val="0"/>
          <w:i w:val="0"/>
        </w:rPr>
        <w:t xml:space="preserve">for damage to property owned by, leased to, or in the custody or control of an Insured person, other than a Substitute vehicle, a trailer covered by </w:t>
      </w:r>
      <w:hyperlink w:anchor="c_mot_ext_non_owned_trailers">
        <w:r>
          <w:rPr>
            <w:color w:val="2E5C4E"/>
            <w:u w:val="single"/>
          </w:rPr>
          <w:t xml:space="preserve">the Trailers extension</w:t>
        </w:r>
      </w:hyperlink>
      <w:r>
        <w:rPr>
          <w:b w:val="0"/>
          <w:i w:val="0"/>
        </w:rPr>
        <w:t>, and employees' and visitors' vehicles in a car park you operate as part of your business;</w:t>
      </w:r>
    </w:p>
    <w:p>
      <w:pPr>
        <w:pStyle w:val="ListBullet"/>
      </w:pPr>
      <w:r>
        <w:rPr>
          <w:b w:val="0"/>
          <w:i w:val="0"/>
        </w:rPr>
        <w:t xml:space="preserve">for death or bodily injury, except as provided by </w:t>
      </w:r>
      <w:hyperlink w:anchor="c_mot_ext_supplementary_bodily_injury">
        <w:r>
          <w:rPr>
            <w:color w:val="2E5C4E"/>
            <w:u w:val="single"/>
          </w:rPr>
          <w:t xml:space="preserve">the Supplementary Bodily Injury extension</w:t>
        </w:r>
      </w:hyperlink>
      <w:r>
        <w:rPr>
          <w:b w:val="0"/>
          <w:i w:val="0"/>
        </w:rPr>
        <w:t>;</w:t>
      </w:r>
    </w:p>
    <w:p>
      <w:pPr>
        <w:pStyle w:val="ListBullet"/>
      </w:pPr>
      <w:r>
        <w:rPr>
          <w:b w:val="0"/>
          <w:i w:val="0"/>
        </w:rPr>
        <w:t>that is covered, or is required by law to be covered, by workers' compensation insurance, or that arises under an industrial award or agreement;</w:t>
      </w:r>
    </w:p>
    <w:p>
      <w:pPr>
        <w:pStyle w:val="ListBullet"/>
      </w:pPr>
      <w:r>
        <w:rPr>
          <w:b w:val="0"/>
          <w:i w:val="0"/>
        </w:rPr>
        <w:t>arising from the carriage of Dangerous goods in breach of the law that applies to their carriage;</w:t>
      </w:r>
    </w:p>
    <w:p>
      <w:pPr>
        <w:pStyle w:val="ListBullet"/>
      </w:pPr>
      <w:r>
        <w:rPr>
          <w:b w:val="0"/>
          <w:i w:val="0"/>
        </w:rPr>
        <w:t>arising from the use of a vehicle as a Tool of trade (road risk while the vehicle is driven as transport remains covered);</w:t>
      </w:r>
    </w:p>
    <w:p>
      <w:pPr>
        <w:pStyle w:val="ListBullet"/>
      </w:pPr>
      <w:r>
        <w:rPr>
          <w:b w:val="0"/>
          <w:i w:val="0"/>
        </w:rPr>
        <w:t>arising from pollution or contamination, unless it results from a sudden, identifiable and unintended event that happens during the Period of Insurance, such as a collision or overturning that spills fuel, oil or load (liability arising from Dangerous goods carried in compliance with the law remains subject to the Dangerous goods sub-limit);</w:t>
      </w:r>
    </w:p>
    <w:p>
      <w:pPr>
        <w:pStyle w:val="ListBullet"/>
      </w:pPr>
      <w:r>
        <w:rPr>
          <w:b w:val="0"/>
          <w:i w:val="0"/>
        </w:rPr>
        <w:t>assumed under a contract, except to the extent you would have been liable without it; or</w:t>
      </w:r>
    </w:p>
    <w:p>
      <w:pPr>
        <w:pStyle w:val="ListBullet"/>
      </w:pPr>
      <w:r>
        <w:rPr>
          <w:b w:val="0"/>
          <w:i w:val="0"/>
        </w:rPr>
        <w:t>for fines or penalties, or aggravated, punitive or exemplary damages.</w:t>
      </w:r>
    </w:p>
    <w:p>
      <w:bookmarkStart w:id="48" w:name="c_mot_section_fleet"/>
      <w:r>
        <w:rPr>
          <w:rFonts w:ascii="Georgia" w:hAnsi="Georgia" w:eastAsia="Georgia"/>
          <w:b/>
          <w:i w:val="0"/>
          <w:color w:val="1C1915"/>
          <w:sz w:val="32"/>
        </w:rPr>
        <w:t>Fleet Provisions</w:t>
      </w:r>
      <w:bookmarkEnd w:id="48"/>
    </w:p>
    <w:p>
      <w:r>
        <w:rPr>
          <w:b w:val="0"/>
          <w:i w:val="0"/>
        </w:rPr>
        <w:t>This section applies only where the Schedule shows that the Policy is written on a Fleet basis. Where it applies, it applies to every Insured vehicle.</w:t>
      </w:r>
    </w:p>
    <w:p>
      <w:bookmarkStart w:id="49" w:name="c_mot_fleet_automatic_cover"/>
      <w:r>
        <w:rPr>
          <w:rFonts w:ascii="Georgia" w:hAnsi="Georgia" w:eastAsia="Georgia"/>
          <w:b/>
          <w:i w:val="0"/>
          <w:color w:val="2E5C4E"/>
          <w:sz w:val="25"/>
        </w:rPr>
        <w:t>Automatic Cover for New and Replacement Vehicles</w:t>
      </w:r>
      <w:bookmarkEnd w:id="49"/>
    </w:p>
    <w:p>
      <w:r>
        <w:rPr>
          <w:b w:val="0"/>
          <w:i w:val="0"/>
        </w:rPr>
        <w:t xml:space="preserve">A vehicle you buy or lease during the Period of Insurance is covered automatically from the time you take possession of it, on the same cover level and terms as the highest-covered Insured vehicle of the same type, up to the value limit shown in </w:t>
      </w:r>
      <w:hyperlink w:anchor="c_mot_appendix_default_schedule_values">
        <w:r>
          <w:rPr>
            <w:color w:val="2E5C4E"/>
            <w:u w:val="single"/>
          </w:rPr>
          <w:t xml:space="preserve">the Default Schedule Values</w:t>
        </w:r>
      </w:hyperlink>
      <w:r>
        <w:rPr>
          <w:b w:val="0"/>
          <w:i w:val="0"/>
        </w:rPr>
        <w:t>, provided that you declare it by the earlier of the next Declaration date and the notice period shown in that appendix, its type is consistent with the vehicles you have declared, and you pay any additional premium. A vehicle declared after the notice period is covered from the date we accept it in writing.</w:t>
      </w:r>
    </w:p>
    <w:p>
      <w:bookmarkStart w:id="50" w:name="c_mot_fleet_declarations"/>
      <w:r>
        <w:rPr>
          <w:rFonts w:ascii="Georgia" w:hAnsi="Georgia" w:eastAsia="Georgia"/>
          <w:b/>
          <w:i w:val="0"/>
          <w:color w:val="2E5C4E"/>
          <w:sz w:val="25"/>
        </w:rPr>
        <w:t>Declarations and Premium Adjustment</w:t>
      </w:r>
      <w:bookmarkEnd w:id="50"/>
    </w:p>
    <w:p>
      <w:r>
        <w:rPr>
          <w:b w:val="0"/>
          <w:i w:val="0"/>
        </w:rPr>
        <w:t xml:space="preserve">You must declare vehicles added to and removed from the fleet at the frequency shown in the Schedule (monthly, quarterly or at the end of the Period of Insurance). Where the Schedule shows a pro-rata basis, we adjust the premium for each vehicle added or removed from the date of the change. Where the Schedule shows an annual declaration basis, we adjust the premium at the end of the Period of Insurance on the difference between the vehicles declared at inception and at expiry, at the percentage of the annual rate shown in the Schedule. We will not refuse or reduce a claim only because a vehicle had not yet been declared, where it was covered under </w:t>
      </w:r>
      <w:hyperlink w:anchor="c_mot_fleet_automatic_cover">
        <w:r>
          <w:rPr>
            <w:color w:val="2E5C4E"/>
            <w:u w:val="single"/>
          </w:rPr>
          <w:t xml:space="preserve">the Automatic Cover for New and Replacement Vehicles extension</w:t>
        </w:r>
      </w:hyperlink>
      <w:r>
        <w:rPr>
          <w:b w:val="0"/>
          <w:i w:val="0"/>
        </w:rPr>
        <w:t>.</w:t>
      </w:r>
    </w:p>
    <w:p>
      <w:bookmarkStart w:id="51" w:name="c_mot_fleet_employees_vehicles"/>
      <w:r>
        <w:rPr>
          <w:rFonts w:ascii="Georgia" w:hAnsi="Georgia" w:eastAsia="Georgia"/>
          <w:b/>
          <w:i w:val="0"/>
          <w:color w:val="2E5C4E"/>
          <w:sz w:val="25"/>
        </w:rPr>
        <w:t>Employees' and Directors' Vehicles</w:t>
      </w:r>
      <w:bookmarkEnd w:id="51"/>
    </w:p>
    <w:p>
      <w:r>
        <w:rPr>
          <w:b w:val="0"/>
          <w:i w:val="0"/>
        </w:rPr>
        <w:t xml:space="preserve">While an employee or director uses their own private vehicle in your business, </w:t>
      </w:r>
      <w:hyperlink w:anchor="c_mot_cover_third_party_property_damage">
        <w:r>
          <w:rPr>
            <w:color w:val="2E5C4E"/>
            <w:u w:val="single"/>
          </w:rPr>
          <w:t xml:space="preserve">the Third Party Property Damage clause</w:t>
        </w:r>
      </w:hyperlink>
      <w:r>
        <w:rPr>
          <w:b w:val="0"/>
          <w:i w:val="0"/>
        </w:rPr>
        <w:t xml:space="preserve"> extends to your liability arising from that use. If their own motor insurance also covers that liability, </w:t>
      </w:r>
      <w:hyperlink w:anchor="c_mot_cond_other_insurance">
        <w:r>
          <w:rPr>
            <w:color w:val="2E5C4E"/>
            <w:u w:val="single"/>
          </w:rPr>
          <w:t xml:space="preserve">the Other Insurance condition</w:t>
        </w:r>
      </w:hyperlink>
      <w:r>
        <w:rPr>
          <w:b w:val="0"/>
          <w:i w:val="0"/>
        </w:rPr>
        <w:t xml:space="preserve"> applies. This extension does not cover loss of or damage to the employee's or director's own vehicle. [WP REVIEW: confirm that relying on contribution, rather than a limit for vehicles insured elsewhere, is consistent with s 45 of the Insurance Contracts Act 1984 (Cth).]</w:t>
      </w:r>
    </w:p>
    <w:p>
      <w:bookmarkStart w:id="52" w:name="c_mot_fleet_courtesy_vehicles"/>
      <w:r>
        <w:rPr>
          <w:rFonts w:ascii="Georgia" w:hAnsi="Georgia" w:eastAsia="Georgia"/>
          <w:b/>
          <w:i w:val="0"/>
          <w:color w:val="2E5C4E"/>
          <w:sz w:val="25"/>
        </w:rPr>
        <w:t>Courtesy and Loan Vehicles</w:t>
      </w:r>
      <w:bookmarkEnd w:id="52"/>
    </w:p>
    <w:p>
      <w:r>
        <w:rPr>
          <w:b w:val="0"/>
          <w:i w:val="0"/>
        </w:rPr>
        <w:t xml:space="preserve">Vehicles you own and lend to customers as courtesy or loan vehicles are covered on the same terms as your other Insured vehicles of the same type, provided they are shown in the Schedule or declared within the notice period in </w:t>
      </w:r>
      <w:hyperlink w:anchor="c_mot_fleet_automatic_cover">
        <w:r>
          <w:rPr>
            <w:color w:val="2E5C4E"/>
            <w:u w:val="single"/>
          </w:rPr>
          <w:t xml:space="preserve">the Automatic Cover for New and Replacement Vehicles extension</w:t>
        </w:r>
      </w:hyperlink>
      <w:r>
        <w:rPr>
          <w:b w:val="0"/>
          <w:i w:val="0"/>
        </w:rPr>
        <w:t>.</w:t>
      </w:r>
    </w:p>
    <w:p>
      <w:bookmarkStart w:id="53" w:name="c_mot_fleet_undeclared_vehicles"/>
      <w:r>
        <w:rPr>
          <w:rFonts w:ascii="Georgia" w:hAnsi="Georgia" w:eastAsia="Georgia"/>
          <w:b/>
          <w:i w:val="0"/>
          <w:color w:val="2E5C4E"/>
          <w:sz w:val="25"/>
        </w:rPr>
        <w:t>Undeclared Vehicles</w:t>
      </w:r>
      <w:bookmarkEnd w:id="53"/>
    </w:p>
    <w:p>
      <w:r>
        <w:rPr>
          <w:b w:val="0"/>
          <w:i w:val="0"/>
        </w:rPr>
        <w:t xml:space="preserve">Where you use a vehicle in your business that is not shown in the Schedule and is not covered by </w:t>
      </w:r>
      <w:hyperlink w:anchor="c_mot_fleet_automatic_cover">
        <w:r>
          <w:rPr>
            <w:color w:val="2E5C4E"/>
            <w:u w:val="single"/>
          </w:rPr>
          <w:t xml:space="preserve">the Automatic Cover for New and Replacement Vehicles extension</w:t>
        </w:r>
      </w:hyperlink>
      <w:r>
        <w:rPr>
          <w:b w:val="0"/>
          <w:i w:val="0"/>
        </w:rPr>
        <w:t xml:space="preserve">, </w:t>
      </w:r>
      <w:hyperlink w:anchor="c_mot_section_liability">
        <w:r>
          <w:rPr>
            <w:color w:val="2E5C4E"/>
            <w:u w:val="single"/>
          </w:rPr>
          <w:t xml:space="preserve">Your Legal Liability</w:t>
        </w:r>
      </w:hyperlink>
      <w:r>
        <w:rPr>
          <w:b w:val="0"/>
          <w:i w:val="0"/>
        </w:rPr>
        <w:t xml:space="preserve"> applies to it for up to the grace period shown in </w:t>
      </w:r>
      <w:hyperlink w:anchor="c_mot_appendix_default_schedule_values">
        <w:r>
          <w:rPr>
            <w:color w:val="2E5C4E"/>
            <w:u w:val="single"/>
          </w:rPr>
          <w:t xml:space="preserve">the Default Schedule Values</w:t>
        </w:r>
      </w:hyperlink>
      <w:r>
        <w:rPr>
          <w:b w:val="0"/>
          <w:i w:val="0"/>
        </w:rPr>
        <w:t>, provided you tell us about it and pay any additional premium.</w:t>
      </w:r>
    </w:p>
    <w:p>
      <w:bookmarkStart w:id="54" w:name="c_mot_fleet_interstate_registration"/>
      <w:r>
        <w:rPr>
          <w:rFonts w:ascii="Georgia" w:hAnsi="Georgia" w:eastAsia="Georgia"/>
          <w:b/>
          <w:i w:val="0"/>
          <w:color w:val="2E5C4E"/>
          <w:sz w:val="25"/>
        </w:rPr>
        <w:t>Interstate Registration and Garaging</w:t>
      </w:r>
      <w:bookmarkEnd w:id="54"/>
    </w:p>
    <w:p>
      <w:r>
        <w:rPr>
          <w:b w:val="0"/>
          <w:i w:val="0"/>
        </w:rPr>
        <w:t>Vehicles registered or garaged in different States and Territories are covered under this one Policy. Stamp duty and levies are charged according to the State or Territory where each vehicle is normally garaged. You must tell us when a vehicle's normal garaging changes to another State or Territory.</w:t>
      </w:r>
    </w:p>
    <w:p>
      <w:bookmarkStart w:id="55" w:name="c_mot_fleet_claims_experience"/>
      <w:r>
        <w:rPr>
          <w:rFonts w:ascii="Georgia" w:hAnsi="Georgia" w:eastAsia="Georgia"/>
          <w:b/>
          <w:i w:val="0"/>
          <w:color w:val="2E5C4E"/>
          <w:sz w:val="25"/>
        </w:rPr>
        <w:t>Fleet Claims Experience Report</w:t>
      </w:r>
      <w:bookmarkEnd w:id="55"/>
    </w:p>
    <w:p>
      <w:r>
        <w:rPr>
          <w:b w:val="0"/>
          <w:i w:val="0"/>
        </w:rPr>
        <w:t>Within 30 days of your request, we will give you a written summary of the fleet's claims experience for the current and previous Periods of Insurance with us: the number of claims, the amount paid and the amount reserved for each Period of Insurance.</w:t>
      </w:r>
    </w:p>
    <w:p>
      <w:bookmarkStart w:id="56" w:name="c_mot_fleet_excess_discount"/>
      <w:r>
        <w:rPr>
          <w:rFonts w:ascii="Georgia" w:hAnsi="Georgia" w:eastAsia="Georgia"/>
          <w:b/>
          <w:i w:val="0"/>
          <w:color w:val="2E5C4E"/>
          <w:sz w:val="25"/>
        </w:rPr>
        <w:t>Fleet Excess Discount</w:t>
      </w:r>
      <w:bookmarkEnd w:id="56"/>
    </w:p>
    <w:p>
      <w:r>
        <w:rPr>
          <w:b w:val="0"/>
          <w:i w:val="0"/>
        </w:rPr>
        <w:t xml:space="preserve">Where the fleet has 10 or more Insured vehicles and there are no more than the number of at-fault claims shown in </w:t>
      </w:r>
      <w:hyperlink w:anchor="c_mot_appendix_default_schedule_values">
        <w:r>
          <w:rPr>
            <w:color w:val="2E5C4E"/>
            <w:u w:val="single"/>
          </w:rPr>
          <w:t xml:space="preserve">the Default Schedule Values</w:t>
        </w:r>
      </w:hyperlink>
      <w:r>
        <w:rPr>
          <w:b w:val="0"/>
          <w:i w:val="0"/>
        </w:rPr>
        <w:t xml:space="preserve"> across the fleet in a Period of Insurance, we will reduce the basic excess at the next renewal by the percentage shown there.</w:t>
      </w:r>
    </w:p>
    <w:p>
      <w:bookmarkStart w:id="57" w:name="c_mot_section_general_exclusions"/>
      <w:r>
        <w:rPr>
          <w:rFonts w:ascii="Georgia" w:hAnsi="Georgia" w:eastAsia="Georgia"/>
          <w:b/>
          <w:i w:val="0"/>
          <w:color w:val="1C1915"/>
          <w:sz w:val="32"/>
        </w:rPr>
        <w:t>General Exclusions</w:t>
      </w:r>
      <w:bookmarkEnd w:id="57"/>
    </w:p>
    <w:p>
      <w:r>
        <w:rPr>
          <w:b w:val="0"/>
          <w:i w:val="0"/>
        </w:rPr>
        <w:t xml:space="preserve">These exclusions apply to every section of this Policy. A section may have its own exclusions as well. Where an exclusion refers to a driver, it applies only to loss, damage or liability that arises while that person is in charge of the Insured vehicle. </w:t>
      </w:r>
      <w:hyperlink w:anchor="c_mot_cond_insurance_contracts_act">
        <w:r>
          <w:rPr>
            <w:color w:val="2E5C4E"/>
            <w:u w:val="single"/>
          </w:rPr>
          <w:t xml:space="preserve">The Insurance Contracts Act 1984 (Cth) condition</w:t>
        </w:r>
      </w:hyperlink>
      <w:r>
        <w:rPr>
          <w:b w:val="0"/>
          <w:i w:val="0"/>
        </w:rPr>
        <w:t xml:space="preserve"> applies to each of them.</w:t>
      </w:r>
    </w:p>
    <w:p>
      <w:bookmarkStart w:id="58" w:name="c_mot_excl_unlicensed_driver"/>
      <w:r>
        <w:rPr>
          <w:rFonts w:ascii="Georgia" w:hAnsi="Georgia" w:eastAsia="Georgia"/>
          <w:b/>
          <w:i w:val="0"/>
          <w:color w:val="2E5C4E"/>
          <w:sz w:val="25"/>
        </w:rPr>
        <w:t>Unlicensed or Disqualified Driver</w:t>
      </w:r>
      <w:bookmarkEnd w:id="58"/>
    </w:p>
    <w:p>
      <w:r>
        <w:rPr>
          <w:b w:val="0"/>
          <w:i w:val="0"/>
        </w:rPr>
        <w:t>Loss, damage or liability while the Insured vehicle is driven by a person who does not hold a current licence appropriate for the vehicle, or whose licence is suspended, cancelled or disqualified. This exclusion does not apply to an Insured person who did not know, and could not reasonably have known, that the driver was unlicensed or disqualified, or where the vehicle was driven without your consent.</w:t>
      </w:r>
    </w:p>
    <w:p>
      <w:bookmarkStart w:id="59" w:name="c_mot_excl_alcohol_and_drugs"/>
      <w:r>
        <w:rPr>
          <w:rFonts w:ascii="Georgia" w:hAnsi="Georgia" w:eastAsia="Georgia"/>
          <w:b/>
          <w:i w:val="0"/>
          <w:color w:val="2E5C4E"/>
          <w:sz w:val="25"/>
        </w:rPr>
        <w:t>Alcohol and Drugs</w:t>
      </w:r>
      <w:bookmarkEnd w:id="59"/>
    </w:p>
    <w:p>
      <w:r>
        <w:rPr>
          <w:b w:val="0"/>
          <w:i w:val="0"/>
        </w:rPr>
        <w:t>Loss, damage or liability while the Insured vehicle is driven by a person whose ability to drive is impaired by alcohol or a drug, who has a blood or breath alcohol level above the legal limit for that driver, or who refuses a lawful test. This exclusion does not apply to an Insured person who did not know, and could not reasonably have known, of the driver's state, or where the vehicle was driven without your consent.</w:t>
      </w:r>
    </w:p>
    <w:p>
      <w:bookmarkStart w:id="60" w:name="c_mot_excl_unroadworthy_condition"/>
      <w:r>
        <w:rPr>
          <w:rFonts w:ascii="Georgia" w:hAnsi="Georgia" w:eastAsia="Georgia"/>
          <w:b/>
          <w:i w:val="0"/>
          <w:color w:val="2E5C4E"/>
          <w:sz w:val="25"/>
        </w:rPr>
        <w:t>Unsafe or Unroadworthy Condition</w:t>
      </w:r>
      <w:bookmarkEnd w:id="60"/>
    </w:p>
    <w:p>
      <w:r>
        <w:rPr>
          <w:b w:val="0"/>
          <w:i w:val="0"/>
        </w:rPr>
        <w:t>Loss, damage or liability caused by the use of a vehicle in an unsafe or unroadworthy condition that you knew about, or ought reasonably to have known about, before the loss.</w:t>
      </w:r>
    </w:p>
    <w:p>
      <w:bookmarkStart w:id="61" w:name="c_mot_excl_racing"/>
      <w:r>
        <w:rPr>
          <w:rFonts w:ascii="Georgia" w:hAnsi="Georgia" w:eastAsia="Georgia"/>
          <w:b/>
          <w:i w:val="0"/>
          <w:color w:val="2E5C4E"/>
          <w:sz w:val="25"/>
        </w:rPr>
        <w:t>Racing and Competition</w:t>
      </w:r>
      <w:bookmarkEnd w:id="61"/>
    </w:p>
    <w:p>
      <w:r>
        <w:rPr>
          <w:b w:val="0"/>
          <w:i w:val="0"/>
        </w:rPr>
        <w:t>Loss, damage or liability while the vehicle is used for racing, pace-making, speed or reliability testing, rallying or any competition, or on a racetrack.</w:t>
      </w:r>
    </w:p>
    <w:p>
      <w:bookmarkStart w:id="62" w:name="c_mot_excl_overloading"/>
      <w:r>
        <w:rPr>
          <w:rFonts w:ascii="Georgia" w:hAnsi="Georgia" w:eastAsia="Georgia"/>
          <w:b/>
          <w:i w:val="0"/>
          <w:color w:val="2E5C4E"/>
          <w:sz w:val="25"/>
        </w:rPr>
        <w:t>Overloading</w:t>
      </w:r>
      <w:bookmarkEnd w:id="62"/>
    </w:p>
    <w:p>
      <w:r>
        <w:rPr>
          <w:b w:val="0"/>
          <w:i w:val="0"/>
        </w:rPr>
        <w:t>Loss, damage or liability caused by a load carried or a weight towed that exceeds the manufacturer's rated capacity or the vehicle's registered capacity.</w:t>
      </w:r>
    </w:p>
    <w:p>
      <w:bookmarkStart w:id="63" w:name="c_mot_excl_outside_australia"/>
      <w:r>
        <w:rPr>
          <w:rFonts w:ascii="Georgia" w:hAnsi="Georgia" w:eastAsia="Georgia"/>
          <w:b/>
          <w:i w:val="0"/>
          <w:color w:val="2E5C4E"/>
          <w:sz w:val="25"/>
        </w:rPr>
        <w:t>Outside Australia</w:t>
      </w:r>
      <w:bookmarkEnd w:id="63"/>
    </w:p>
    <w:p>
      <w:r>
        <w:rPr>
          <w:b w:val="0"/>
          <w:i w:val="0"/>
        </w:rPr>
        <w:t>Loss, damage or liability that occurs outside Australia, unless the Schedule shows otherwise.</w:t>
      </w:r>
    </w:p>
    <w:p>
      <w:bookmarkStart w:id="64" w:name="c_mot_excl_hire_fare_or_reward"/>
      <w:r>
        <w:rPr>
          <w:rFonts w:ascii="Georgia" w:hAnsi="Georgia" w:eastAsia="Georgia"/>
          <w:b/>
          <w:i w:val="0"/>
          <w:color w:val="2E5C4E"/>
          <w:sz w:val="25"/>
        </w:rPr>
        <w:t>Hire, Fare or Reward</w:t>
      </w:r>
      <w:bookmarkEnd w:id="64"/>
    </w:p>
    <w:p>
      <w:r>
        <w:rPr>
          <w:b w:val="0"/>
          <w:i w:val="0"/>
        </w:rPr>
        <w:t>Loss, damage or liability while the vehicle is used for hire, fare or reward, including rideshare and food delivery for a platform, unless the Schedule shows it as Permitted use or an Endorsement covers it. Carrying your own goods, staff or customers in the course of your business is not use for hire, fare or reward.</w:t>
      </w:r>
    </w:p>
    <w:p>
      <w:bookmarkStart w:id="65" w:name="c_mot_excl_other_than_permitted_use"/>
      <w:r>
        <w:rPr>
          <w:rFonts w:ascii="Georgia" w:hAnsi="Georgia" w:eastAsia="Georgia"/>
          <w:b/>
          <w:i w:val="0"/>
          <w:color w:val="2E5C4E"/>
          <w:sz w:val="25"/>
        </w:rPr>
        <w:t>Use Other Than the Permitted Use</w:t>
      </w:r>
      <w:bookmarkEnd w:id="65"/>
    </w:p>
    <w:p>
      <w:r>
        <w:rPr>
          <w:b w:val="0"/>
          <w:i w:val="0"/>
        </w:rPr>
        <w:t>Loss, damage or liability while the vehicle is used other than for its Permitted use, where you knew of or consented to that use.</w:t>
      </w:r>
    </w:p>
    <w:p>
      <w:bookmarkStart w:id="66" w:name="c_mot_excl_deliberate_acts"/>
      <w:r>
        <w:rPr>
          <w:rFonts w:ascii="Georgia" w:hAnsi="Georgia" w:eastAsia="Georgia"/>
          <w:b/>
          <w:i w:val="0"/>
          <w:color w:val="2E5C4E"/>
          <w:sz w:val="25"/>
        </w:rPr>
        <w:t>Deliberate Acts</w:t>
      </w:r>
      <w:bookmarkEnd w:id="66"/>
    </w:p>
    <w:p>
      <w:r>
        <w:rPr>
          <w:b w:val="0"/>
          <w:i w:val="0"/>
        </w:rPr>
        <w:t xml:space="preserve">Loss, damage or liability that you deliberately cause, or that is deliberately caused by a person acting with your consent or knowledge who intends the loss or damage. </w:t>
      </w:r>
      <w:hyperlink w:anchor="c_mot_cond_joint_insureds">
        <w:r>
          <w:rPr>
            <w:color w:val="2E5C4E"/>
            <w:u w:val="single"/>
          </w:rPr>
          <w:t xml:space="preserve">The Joint Insureds condition</w:t>
        </w:r>
      </w:hyperlink>
      <w:r>
        <w:rPr>
          <w:b w:val="0"/>
          <w:i w:val="0"/>
        </w:rPr>
        <w:t xml:space="preserve"> applies.</w:t>
      </w:r>
    </w:p>
    <w:p>
      <w:bookmarkStart w:id="67" w:name="c_mot_excl_war"/>
      <w:r>
        <w:rPr>
          <w:rFonts w:ascii="Georgia" w:hAnsi="Georgia" w:eastAsia="Georgia"/>
          <w:b/>
          <w:i w:val="0"/>
          <w:color w:val="2E5C4E"/>
          <w:sz w:val="25"/>
        </w:rPr>
        <w:t>War</w:t>
      </w:r>
      <w:bookmarkEnd w:id="67"/>
    </w:p>
    <w:p>
      <w:r>
        <w:rPr>
          <w:b w:val="0"/>
          <w:i w:val="0"/>
        </w:rPr>
        <w:t>Loss, damage or liability arising from war, invasion, act of a foreign enemy, hostilities (whether war is declared or not), civil war, rebellion, revolution, insurrection, or military or usurped power.</w:t>
      </w:r>
    </w:p>
    <w:p>
      <w:bookmarkStart w:id="68" w:name="c_mot_excl_nuclear"/>
      <w:r>
        <w:rPr>
          <w:rFonts w:ascii="Georgia" w:hAnsi="Georgia" w:eastAsia="Georgia"/>
          <w:b/>
          <w:i w:val="0"/>
          <w:color w:val="2E5C4E"/>
          <w:sz w:val="25"/>
        </w:rPr>
        <w:t>Nuclear</w:t>
      </w:r>
      <w:bookmarkEnd w:id="68"/>
    </w:p>
    <w:p>
      <w:r>
        <w:rPr>
          <w:b w:val="0"/>
          <w:i w:val="0"/>
        </w:rPr>
        <w:t>Loss, damage or liability arising from ionising radiation or contamination by radioactivity from nuclear fuel or nuclear waste, or from nuclear weapons material.</w:t>
      </w:r>
    </w:p>
    <w:p>
      <w:bookmarkStart w:id="69" w:name="c_mot_excl_terrorism"/>
      <w:r>
        <w:rPr>
          <w:rFonts w:ascii="Georgia" w:hAnsi="Georgia" w:eastAsia="Georgia"/>
          <w:b/>
          <w:i w:val="0"/>
          <w:color w:val="2E5C4E"/>
          <w:sz w:val="25"/>
        </w:rPr>
        <w:t>Terrorism</w:t>
      </w:r>
      <w:bookmarkEnd w:id="69"/>
    </w:p>
    <w:p>
      <w:r>
        <w:rPr>
          <w:b w:val="0"/>
          <w:i w:val="0"/>
        </w:rPr>
        <w:t>Loss, damage or liability arising from an act of terrorism. [WP REVIEW: confirm whether the scheme under the Terrorism Insurance Act 2003 (Cth), as renamed, can apply to motor vehicle insurance and, if it can, whether this exclusion needs an exception for it.]</w:t>
      </w:r>
    </w:p>
    <w:p>
      <w:bookmarkStart w:id="70" w:name="c_mot_section_claims"/>
      <w:r>
        <w:rPr>
          <w:rFonts w:ascii="Georgia" w:hAnsi="Georgia" w:eastAsia="Georgia"/>
          <w:b/>
          <w:i w:val="0"/>
          <w:color w:val="1C1915"/>
          <w:sz w:val="32"/>
        </w:rPr>
        <w:t>Your Obligations When Something Happens</w:t>
      </w:r>
      <w:bookmarkEnd w:id="70"/>
    </w:p>
    <w:p>
      <w:r>
        <w:rPr>
          <w:b w:val="0"/>
          <w:i w:val="0"/>
        </w:rPr>
        <w:t xml:space="preserve">These obligations apply to every claim. </w:t>
      </w:r>
      <w:hyperlink w:anchor="c_mot_cond_insurance_contracts_act">
        <w:r>
          <w:rPr>
            <w:color w:val="2E5C4E"/>
            <w:u w:val="single"/>
          </w:rPr>
          <w:t xml:space="preserve">The Insurance Contracts Act 1984 (Cth) condition</w:t>
        </w:r>
      </w:hyperlink>
      <w:r>
        <w:rPr>
          <w:b w:val="0"/>
          <w:i w:val="0"/>
        </w:rPr>
        <w:t xml:space="preserve"> applies to each of them: we will not refuse a claim only because you did not meet one of them, except to the extent the Insurance Contracts Act 1984 (Cth) allows.</w:t>
      </w:r>
    </w:p>
    <w:p>
      <w:bookmarkStart w:id="71" w:name="c_mot_obl_notify_us"/>
      <w:r>
        <w:rPr>
          <w:rFonts w:ascii="Georgia" w:hAnsi="Georgia" w:eastAsia="Georgia"/>
          <w:b/>
          <w:i w:val="0"/>
          <w:color w:val="2E5C4E"/>
          <w:sz w:val="25"/>
        </w:rPr>
        <w:t>Tell Us About an Incident</w:t>
      </w:r>
      <w:bookmarkEnd w:id="71"/>
    </w:p>
    <w:p>
      <w:r>
        <w:rPr>
          <w:b w:val="0"/>
          <w:i w:val="0"/>
        </w:rPr>
        <w:t>Tell us as soon as reasonably practicable after any accident, theft or other event that may give rise to a claim. Give us when and where it happened; the registration and description of each vehicle involved; the names and contact details of the drivers, passengers and witnesses; what happened and what was damaged; the other party's insurance details if known; and a copy of any police report. Report theft and malicious damage to the police as soon as reasonably practicable.</w:t>
      </w:r>
    </w:p>
    <w:p>
      <w:bookmarkStart w:id="72" w:name="c_mot_obl_do_not_admit_liability"/>
      <w:r>
        <w:rPr>
          <w:rFonts w:ascii="Georgia" w:hAnsi="Georgia" w:eastAsia="Georgia"/>
          <w:b/>
          <w:i w:val="0"/>
          <w:color w:val="2E5C4E"/>
          <w:sz w:val="25"/>
        </w:rPr>
        <w:t>Do Not Admit Liability</w:t>
      </w:r>
      <w:bookmarkEnd w:id="72"/>
    </w:p>
    <w:p>
      <w:r>
        <w:rPr>
          <w:b w:val="0"/>
          <w:i w:val="0"/>
        </w:rPr>
        <w:t>Do not admit fault or liability, or offer or agree to pay anything, without our written consent, except as the law requires. You may exchange details with the other driver.</w:t>
      </w:r>
    </w:p>
    <w:p>
      <w:bookmarkStart w:id="73" w:name="c_mot_obl_protect_the_vehicle"/>
      <w:r>
        <w:rPr>
          <w:rFonts w:ascii="Georgia" w:hAnsi="Georgia" w:eastAsia="Georgia"/>
          <w:b/>
          <w:i w:val="0"/>
          <w:color w:val="2E5C4E"/>
          <w:sz w:val="25"/>
        </w:rPr>
        <w:t>Protect the Vehicle</w:t>
      </w:r>
      <w:bookmarkEnd w:id="73"/>
    </w:p>
    <w:p>
      <w:r>
        <w:rPr>
          <w:b w:val="0"/>
          <w:i w:val="0"/>
        </w:rPr>
        <w:t>Take reasonable steps to prevent further loss or damage. If the vehicle is not safe to drive, arrange for it to be towed. Reasonable towing costs are covered as an additional benefit for the cover levels that include it.</w:t>
      </w:r>
    </w:p>
    <w:p>
      <w:bookmarkStart w:id="74" w:name="c_mot_obl_cooperate"/>
      <w:r>
        <w:rPr>
          <w:rFonts w:ascii="Georgia" w:hAnsi="Georgia" w:eastAsia="Georgia"/>
          <w:b/>
          <w:i w:val="0"/>
          <w:color w:val="2E5C4E"/>
          <w:sz w:val="25"/>
        </w:rPr>
        <w:t>Cooperate With Us</w:t>
      </w:r>
      <w:bookmarkEnd w:id="74"/>
    </w:p>
    <w:p>
      <w:r>
        <w:rPr>
          <w:b w:val="0"/>
          <w:i w:val="0"/>
        </w:rPr>
        <w:t>Give us the information and help we reasonably need to assess, defend or settle a claim and to recover from others. Let us inspect the vehicle before repairs start, except emergency repairs needed to make it safe.</w:t>
      </w:r>
    </w:p>
    <w:p>
      <w:bookmarkStart w:id="75" w:name="c_mot_obl_maintain_vehicles"/>
      <w:r>
        <w:rPr>
          <w:rFonts w:ascii="Georgia" w:hAnsi="Georgia" w:eastAsia="Georgia"/>
          <w:b/>
          <w:i w:val="0"/>
          <w:color w:val="2E5C4E"/>
          <w:sz w:val="25"/>
        </w:rPr>
        <w:t>Maintain Your Vehicles</w:t>
      </w:r>
      <w:bookmarkEnd w:id="75"/>
    </w:p>
    <w:p>
      <w:r>
        <w:rPr>
          <w:b w:val="0"/>
          <w:i w:val="0"/>
        </w:rPr>
        <w:t>Keep each Insured vehicle registered and roadworthy, and comply with the registration, licensing and safety laws that apply to it, including the fatigue, mass, maintenance and chain of responsibility duties of the Heavy Vehicle National Law where that law applies.</w:t>
      </w:r>
    </w:p>
    <w:p>
      <w:bookmarkStart w:id="76" w:name="c_mot_obl_tell_us_about_changes"/>
      <w:r>
        <w:rPr>
          <w:rFonts w:ascii="Georgia" w:hAnsi="Georgia" w:eastAsia="Georgia"/>
          <w:b/>
          <w:i w:val="0"/>
          <w:color w:val="2E5C4E"/>
          <w:sz w:val="25"/>
        </w:rPr>
        <w:t>Tell Us About Changes</w:t>
      </w:r>
      <w:bookmarkEnd w:id="76"/>
    </w:p>
    <w:p>
      <w:r>
        <w:rPr>
          <w:b w:val="0"/>
          <w:i w:val="0"/>
        </w:rPr>
        <w:t xml:space="preserve">Tell us during the Period of Insurance about vehicles added to or removed from the Schedule; a change in the use of a vehicle, for example starting to carry Dangerous goods or starting rideshare, courier or delivery work for a platform; a change in where a vehicle is normally garaged; modifications to a vehicle worth more than the amount shown in </w:t>
      </w:r>
      <w:hyperlink w:anchor="c_mot_appendix_default_schedule_values">
        <w:r>
          <w:rPr>
            <w:color w:val="2E5C4E"/>
            <w:u w:val="single"/>
          </w:rPr>
          <w:t xml:space="preserve">the Default Schedule Values</w:t>
        </w:r>
      </w:hyperlink>
      <w:r>
        <w:rPr>
          <w:b w:val="0"/>
          <w:i w:val="0"/>
        </w:rPr>
        <w:t>; and a change to the drivers, where the Schedule shows named drivers.</w:t>
      </w:r>
    </w:p>
    <w:p>
      <w:r>
        <w:rPr>
          <w:b w:val="0"/>
          <w:i w:val="0"/>
        </w:rPr>
        <w:t xml:space="preserve">We may change the premium or terms because of a change you tell us about, but only by giving you written notice of the new premium or terms. They apply only from the date stated in the notice, which is not earlier than the notice period shown in </w:t>
      </w:r>
      <w:hyperlink w:anchor="c_mot_appendix_default_schedule_values">
        <w:r>
          <w:rPr>
            <w:color w:val="2E5C4E"/>
            <w:u w:val="single"/>
          </w:rPr>
          <w:t xml:space="preserve">the Default Schedule Values</w:t>
        </w:r>
      </w:hyperlink>
      <w:r>
        <w:rPr>
          <w:b w:val="0"/>
          <w:i w:val="0"/>
        </w:rPr>
        <w:t xml:space="preserve"> after we send it. If you do not accept them, you may cancel this Policy as </w:t>
      </w:r>
      <w:hyperlink w:anchor="c_mot_cond_cancellation">
        <w:r>
          <w:rPr>
            <w:color w:val="2E5C4E"/>
            <w:u w:val="single"/>
          </w:rPr>
          <w:t xml:space="preserve">the Cancellation condition</w:t>
        </w:r>
      </w:hyperlink>
      <w:r>
        <w:rPr>
          <w:b w:val="0"/>
          <w:i w:val="0"/>
        </w:rPr>
        <w:t xml:space="preserve"> allows, and the new premium or terms do not apply to you. [WP REVIEW: confirm this mid-period variation mechanism against the variation and unfair contract terms provisions of the Insurance Contracts Act 1984 (Cth).]</w:t>
      </w:r>
    </w:p>
    <w:p>
      <w:bookmarkStart w:id="77" w:name="c_mot_section_general_conditions"/>
      <w:r>
        <w:rPr>
          <w:rFonts w:ascii="Georgia" w:hAnsi="Georgia" w:eastAsia="Georgia"/>
          <w:b/>
          <w:i w:val="0"/>
          <w:color w:val="1C1915"/>
          <w:sz w:val="32"/>
        </w:rPr>
        <w:t>General Conditions</w:t>
      </w:r>
      <w:bookmarkEnd w:id="77"/>
    </w:p>
    <w:p>
      <w:r>
        <w:rPr>
          <w:b w:val="0"/>
          <w:i w:val="0"/>
        </w:rPr>
        <w:t>These conditions apply to every section of this Policy.</w:t>
      </w:r>
    </w:p>
    <w:p>
      <w:bookmarkStart w:id="78" w:name="c_mot_cond_insurance_contracts_act"/>
      <w:r>
        <w:rPr>
          <w:rFonts w:ascii="Georgia" w:hAnsi="Georgia" w:eastAsia="Georgia"/>
          <w:b/>
          <w:i w:val="0"/>
          <w:color w:val="2E5C4E"/>
          <w:sz w:val="25"/>
        </w:rPr>
        <w:t>Insurance Contracts Act 1984 (Cth)</w:t>
      </w:r>
      <w:bookmarkEnd w:id="78"/>
    </w:p>
    <w:p>
      <w:r>
        <w:rPr>
          <w:b w:val="0"/>
          <w:i w:val="0"/>
        </w:rPr>
        <w:t>Nothing in this Policy excludes, restricts or modifies the operation of the Insurance Contracts Act 1984 (Cth). Where this Policy is inconsistent with the Act, the Act prevails.</w:t>
      </w:r>
    </w:p>
    <w:p>
      <w:r>
        <w:rPr>
          <w:b w:val="0"/>
          <w:i w:val="0"/>
        </w:rPr>
        <w:t>If this Policy would otherwise let us refuse to pay a claim, in whole or in part, because of something you did or did not do after this Policy was entered into, section 54 of the Act applies. We may not refuse to pay the claim only because of that act or omission. Our liability is reduced by the amount that fairly represents the extent to which our interests were prejudiced. Where the act or omission could reasonably be regarded as capable of causing or contributing to the loss, we may refuse to pay only the part of the claim that the act or omission caused or contributed to. We may not refuse any part that you prove the act or omission did not cause. This applies to every condition, exclusion, limit and obligation in this Policy, not only to the claims conditions.</w:t>
      </w:r>
    </w:p>
    <w:p>
      <w:bookmarkStart w:id="79" w:name="c_mot_cond_duty_of_disclosure"/>
      <w:r>
        <w:rPr>
          <w:rFonts w:ascii="Georgia" w:hAnsi="Georgia" w:eastAsia="Georgia"/>
          <w:b/>
          <w:i w:val="0"/>
          <w:color w:val="2E5C4E"/>
          <w:sz w:val="25"/>
        </w:rPr>
        <w:t>Your Duty of Disclosure</w:t>
      </w:r>
      <w:bookmarkEnd w:id="79"/>
    </w:p>
    <w:p>
      <w:r>
        <w:rPr>
          <w:b w:val="0"/>
          <w:i w:val="0"/>
        </w:rPr>
        <w:t>Before you enter into, renew, extend, vary or reinstate this Policy, you have a duty under s 21 of the Insurance Contracts Act 1984 (Cth) to tell us every matter that you know, or that a reasonable person in the circumstances could be expected to know, is relevant to our decision whether to insure you and on what terms. You do not need to tell us anything that reduces the risk, that is of common knowledge, that we know or should know in the ordinary course of our business, or that we have told you we do not need to know.</w:t>
      </w:r>
    </w:p>
    <w:p>
      <w:r>
        <w:rPr>
          <w:b w:val="0"/>
          <w:i w:val="0"/>
        </w:rPr>
        <w:t>If you do not comply with this duty, we may be entitled to reduce our liability for a claim or to cancel the Policy, as the Act allows. If the non-disclosure is fraudulent, we may also be entitled to avoid the Policy from its beginning.</w:t>
      </w:r>
    </w:p>
    <w:p>
      <w:r>
        <w:rPr>
          <w:b w:val="0"/>
          <w:i w:val="0"/>
        </w:rPr>
        <w:t>This clause applies where this Policy is not a consumer insurance contract. Where it is, the Act's duty to take reasonable care not to make a misrepresentation applies instead of the duty above, and our remedies are those the Act gives for a breach of that duty.</w:t>
      </w:r>
    </w:p>
    <w:p>
      <w:bookmarkStart w:id="80" w:name="c_mot_cond_premium"/>
      <w:r>
        <w:rPr>
          <w:rFonts w:ascii="Georgia" w:hAnsi="Georgia" w:eastAsia="Georgia"/>
          <w:b/>
          <w:i w:val="0"/>
          <w:color w:val="2E5C4E"/>
          <w:sz w:val="25"/>
        </w:rPr>
        <w:t>Premium and Instalments</w:t>
      </w:r>
      <w:bookmarkEnd w:id="80"/>
    </w:p>
    <w:p>
      <w:r>
        <w:rPr>
          <w:b w:val="0"/>
          <w:i w:val="0"/>
        </w:rPr>
        <w:t>The premium is shown in the Schedule. Where you pay by instalments and an instalment is unpaid for one month or more, we may refuse a claim that arises after the instalment fell due, and we may cancel the Policy by written notice in accordance with the Insurance Contracts Act 1984 (Cth). Before we refuse a claim or cancel for an unpaid instalment, we will give you written notice that the instalment is overdue and what you must pay to keep the Policy in force. [WP REVIEW: align with s 39 of the Insurance Contracts Act and the issuer's instalment terms.]</w:t>
      </w:r>
    </w:p>
    <w:p>
      <w:bookmarkStart w:id="81" w:name="c_mot_cond_excess"/>
      <w:r>
        <w:rPr>
          <w:rFonts w:ascii="Georgia" w:hAnsi="Georgia" w:eastAsia="Georgia"/>
          <w:b/>
          <w:i w:val="0"/>
          <w:color w:val="2E5C4E"/>
          <w:sz w:val="25"/>
        </w:rPr>
        <w:t>Excesses</w:t>
      </w:r>
      <w:bookmarkEnd w:id="81"/>
    </w:p>
    <w:p>
      <w:r>
        <w:rPr>
          <w:b w:val="0"/>
          <w:i w:val="0"/>
        </w:rPr>
        <w:t>The Excesses shown in the Schedule apply to each claim, for each Insured vehicle, as follows:</w:t>
      </w:r>
    </w:p>
    <w:tbl>
      <w:tblPr>
        <w:tblStyle w:val="TableGrid"/>
        <w:tblW w:type="auto" w:w="0"/>
        <w:tblLook w:firstColumn="1" w:firstRow="1" w:lastColumn="0" w:lastRow="0" w:noHBand="0" w:noVBand="1" w:val="04A0"/>
      </w:tblPr>
      <w:tblGrid>
        <w:gridCol w:w="4873"/>
        <w:gridCol w:w="4873"/>
      </w:tblGrid>
      <w:tr>
        <w:tc>
          <w:tcPr>
            <w:tcW w:type="dxa" w:w="4873"/>
          </w:tcPr>
          <w:p>
            <w:r/>
            <w:r>
              <w:rPr>
                <w:b w:val="0"/>
                <w:i w:val="0"/>
              </w:rPr>
              <w:t>Excess</w:t>
            </w:r>
          </w:p>
        </w:tc>
        <w:tc>
          <w:tcPr>
            <w:tcW w:type="dxa" w:w="4873"/>
          </w:tcPr>
          <w:p>
            <w:r/>
            <w:r>
              <w:rPr>
                <w:b w:val="0"/>
                <w:i w:val="0"/>
              </w:rPr>
              <w:t>When it applies</w:t>
            </w:r>
          </w:p>
        </w:tc>
      </w:tr>
      <w:tr>
        <w:tc>
          <w:tcPr>
            <w:tcW w:type="dxa" w:w="4873"/>
          </w:tcPr>
          <w:p>
            <w:r/>
            <w:r>
              <w:rPr>
                <w:b w:val="0"/>
                <w:i w:val="0"/>
              </w:rPr>
              <w:t>Basic excess</w:t>
            </w:r>
          </w:p>
        </w:tc>
        <w:tc>
          <w:tcPr>
            <w:tcW w:type="dxa" w:w="4873"/>
          </w:tcPr>
          <w:p>
            <w:r/>
            <w:r>
              <w:rPr>
                <w:b w:val="0"/>
                <w:i w:val="0"/>
              </w:rPr>
              <w:t>Every claim, unless this condition says no excess applies</w:t>
            </w:r>
          </w:p>
        </w:tc>
      </w:tr>
      <w:tr>
        <w:tc>
          <w:tcPr>
            <w:tcW w:type="dxa" w:w="4873"/>
          </w:tcPr>
          <w:p>
            <w:r/>
            <w:r>
              <w:rPr>
                <w:b w:val="0"/>
                <w:i w:val="0"/>
              </w:rPr>
              <w:t>Age excess</w:t>
            </w:r>
          </w:p>
        </w:tc>
        <w:tc>
          <w:tcPr>
            <w:tcW w:type="dxa" w:w="4873"/>
          </w:tcPr>
          <w:p>
            <w:r/>
            <w:r>
              <w:rPr>
                <w:b w:val="0"/>
                <w:i w:val="0"/>
              </w:rPr>
              <w:t>In addition, where the driver at the time of the loss was under the age shown in the Schedule</w:t>
            </w:r>
          </w:p>
        </w:tc>
      </w:tr>
      <w:tr>
        <w:tc>
          <w:tcPr>
            <w:tcW w:type="dxa" w:w="4873"/>
          </w:tcPr>
          <w:p>
            <w:r/>
            <w:r>
              <w:rPr>
                <w:b w:val="0"/>
                <w:i w:val="0"/>
              </w:rPr>
              <w:t>Inexperienced driver excess</w:t>
            </w:r>
          </w:p>
        </w:tc>
        <w:tc>
          <w:tcPr>
            <w:tcW w:type="dxa" w:w="4873"/>
          </w:tcPr>
          <w:p>
            <w:r/>
            <w:r>
              <w:rPr>
                <w:b w:val="0"/>
                <w:i w:val="0"/>
              </w:rPr>
              <w:t>In addition, where the driver had held a licence for that class of vehicle for less than the period shown in the Schedule</w:t>
            </w:r>
          </w:p>
        </w:tc>
      </w:tr>
      <w:tr>
        <w:tc>
          <w:tcPr>
            <w:tcW w:type="dxa" w:w="4873"/>
          </w:tcPr>
          <w:p>
            <w:r/>
            <w:r>
              <w:rPr>
                <w:b w:val="0"/>
                <w:i w:val="0"/>
              </w:rPr>
              <w:t>Unlisted driver excess</w:t>
            </w:r>
          </w:p>
        </w:tc>
        <w:tc>
          <w:tcPr>
            <w:tcW w:type="dxa" w:w="4873"/>
          </w:tcPr>
          <w:p>
            <w:r/>
            <w:r>
              <w:rPr>
                <w:b w:val="0"/>
                <w:i w:val="0"/>
              </w:rPr>
              <w:t>In addition, where the Schedule shows named drivers and the driver was not one of them</w:t>
            </w:r>
          </w:p>
        </w:tc>
      </w:tr>
      <w:tr>
        <w:tc>
          <w:tcPr>
            <w:tcW w:type="dxa" w:w="4873"/>
          </w:tcPr>
          <w:p>
            <w:r/>
            <w:r>
              <w:rPr>
                <w:b w:val="0"/>
                <w:i w:val="0"/>
              </w:rPr>
              <w:t>Voluntary excess</w:t>
            </w:r>
          </w:p>
        </w:tc>
        <w:tc>
          <w:tcPr>
            <w:tcW w:type="dxa" w:w="4873"/>
          </w:tcPr>
          <w:p>
            <w:r/>
            <w:r>
              <w:rPr>
                <w:b w:val="0"/>
                <w:i w:val="0"/>
              </w:rPr>
              <w:t>In addition, where you chose a higher excess for a lower premium</w:t>
            </w:r>
          </w:p>
        </w:tc>
      </w:tr>
    </w:tbl>
    <w:p>
      <w:r>
        <w:rPr>
          <w:b w:val="0"/>
          <w:i w:val="0"/>
        </w:rPr>
        <w:t>No excess applies to a claim for windscreen or window glass only, or where the driver of the Insured vehicle was Not at fault and you give us the name and address of the person responsible. Where more than one Insured vehicle is damaged in the same Occurrence, you pay one basic excess (the highest that applies), plus any additional excess for each driver.</w:t>
      </w:r>
    </w:p>
    <w:p>
      <w:bookmarkStart w:id="82" w:name="c_mot_cond_cancellation"/>
      <w:r>
        <w:rPr>
          <w:rFonts w:ascii="Georgia" w:hAnsi="Georgia" w:eastAsia="Georgia"/>
          <w:b/>
          <w:i w:val="0"/>
          <w:color w:val="2E5C4E"/>
          <w:sz w:val="25"/>
        </w:rPr>
        <w:t>Cancellation</w:t>
      </w:r>
      <w:bookmarkEnd w:id="82"/>
    </w:p>
    <w:p>
      <w:r>
        <w:rPr>
          <w:b w:val="0"/>
          <w:i w:val="0"/>
        </w:rPr>
        <w:t>You may cancel this Policy, or remove an Insured vehicle from it, at any time by telling us. We refund the premium for the unexpired Period of Insurance on a pro-rata basis, less any non-refundable government charges. If we have paid a Total loss of an Insured vehicle, no refund applies to that vehicle.</w:t>
      </w:r>
    </w:p>
    <w:p>
      <w:r>
        <w:rPr>
          <w:b w:val="0"/>
          <w:i w:val="0"/>
        </w:rPr>
        <w:t>We may cancel this Policy only as the Insurance Contracts Act 1984 (Cth) allows, by giving you written notice as that Act requires, which is at least 30 days' written notice or any longer notice the Act requires. We refund the premium for the unexpired Period of Insurance on a pro-rata basis.</w:t>
      </w:r>
    </w:p>
    <w:p>
      <w:r>
        <w:rPr>
          <w:b w:val="0"/>
          <w:i w:val="0"/>
        </w:rPr>
        <w:t>Cancellation does not affect a claim for loss, damage or liability that occurred before the cancellation took effect.</w:t>
      </w:r>
    </w:p>
    <w:p>
      <w:bookmarkStart w:id="83" w:name="c_mot_cond_other_insurance"/>
      <w:r>
        <w:rPr>
          <w:rFonts w:ascii="Georgia" w:hAnsi="Georgia" w:eastAsia="Georgia"/>
          <w:b/>
          <w:i w:val="0"/>
          <w:color w:val="2E5C4E"/>
          <w:sz w:val="25"/>
        </w:rPr>
        <w:t>Other Insurance</w:t>
      </w:r>
      <w:bookmarkEnd w:id="83"/>
    </w:p>
    <w:p>
      <w:r>
        <w:rPr>
          <w:b w:val="0"/>
          <w:i w:val="0"/>
        </w:rPr>
        <w:t>If a loss covered by this Policy is also covered by another insurance policy, we will not refuse or reduce our payment because of that other insurance. We may seek contribution from the other insurer as the law allows. This does not apply where the Schedule or an Endorsement states that this Policy is excess of a specified underlying policy, in which case this Policy pays only after the limit of that specified policy is exhausted.</w:t>
      </w:r>
    </w:p>
    <w:p>
      <w:bookmarkStart w:id="84" w:name="c_mot_cond_gst"/>
      <w:r>
        <w:rPr>
          <w:rFonts w:ascii="Georgia" w:hAnsi="Georgia" w:eastAsia="Georgia"/>
          <w:b/>
          <w:i w:val="0"/>
          <w:color w:val="2E5C4E"/>
          <w:sz w:val="25"/>
        </w:rPr>
        <w:t>GST</w:t>
      </w:r>
      <w:bookmarkEnd w:id="84"/>
    </w:p>
    <w:p>
      <w:r>
        <w:rPr>
          <w:b w:val="0"/>
          <w:i w:val="0"/>
        </w:rPr>
        <w:t>Where you are entitled to an input tax credit for the GST on a payment we make, we reduce the payment by that entitlement. You must tell us the extent of your entitlement when you make a claim. Limits and Sums insured include GST unless the Schedule says otherwise.</w:t>
      </w:r>
    </w:p>
    <w:p>
      <w:bookmarkStart w:id="85" w:name="c_mot_cond_subrogation_and_interested_pa"/>
      <w:r>
        <w:rPr>
          <w:rFonts w:ascii="Georgia" w:hAnsi="Georgia" w:eastAsia="Georgia"/>
          <w:b/>
          <w:i w:val="0"/>
          <w:color w:val="2E5C4E"/>
          <w:sz w:val="25"/>
        </w:rPr>
        <w:t>Subrogation and Interested Parties</w:t>
      </w:r>
      <w:bookmarkEnd w:id="85"/>
    </w:p>
    <w:p>
      <w:r>
        <w:rPr>
          <w:b w:val="0"/>
          <w:i w:val="0"/>
        </w:rPr>
        <w:t>After we pay a claim, we may take recovery action in your name against any person responsible, and you must give us reasonable help with it. We will not take recovery action against a person you agreed in writing, before the loss, to hold harmless or not to pursue, where the agreement was disclosed to us or is usual for your business, or against an Insured person or an employee, unless the loss was caused by their deliberate or criminal act.</w:t>
      </w:r>
    </w:p>
    <w:p>
      <w:r>
        <w:rPr>
          <w:b w:val="0"/>
          <w:i w:val="0"/>
        </w:rPr>
        <w:t>Where the Schedule names a financier or lessor as an interested party, we will pay a claim for the loss of or damage to that Insured vehicle to them, or to you and them jointly, to the extent of their interest.</w:t>
      </w:r>
    </w:p>
    <w:p>
      <w:bookmarkStart w:id="86" w:name="c_mot_cond_salvage"/>
      <w:r>
        <w:rPr>
          <w:rFonts w:ascii="Georgia" w:hAnsi="Georgia" w:eastAsia="Georgia"/>
          <w:b/>
          <w:i w:val="0"/>
          <w:color w:val="2E5C4E"/>
          <w:sz w:val="25"/>
        </w:rPr>
        <w:t>Salvage</w:t>
      </w:r>
      <w:bookmarkEnd w:id="86"/>
    </w:p>
    <w:p>
      <w:r>
        <w:rPr>
          <w:b w:val="0"/>
          <w:i w:val="0"/>
        </w:rPr>
        <w:t>If we pay a claim for a Total loss, the salvage belongs to us. Before we sell it or dispose of it, we will offer you the chance to keep it at its salvage value, unless the law prevents the vehicle from being repaired or re-registered.</w:t>
      </w:r>
    </w:p>
    <w:p>
      <w:bookmarkStart w:id="87" w:name="c_mot_cond_fraudulent_claims"/>
      <w:r>
        <w:rPr>
          <w:rFonts w:ascii="Georgia" w:hAnsi="Georgia" w:eastAsia="Georgia"/>
          <w:b/>
          <w:i w:val="0"/>
          <w:color w:val="2E5C4E"/>
          <w:sz w:val="25"/>
        </w:rPr>
        <w:t>Fraudulent Claims</w:t>
      </w:r>
      <w:bookmarkEnd w:id="87"/>
    </w:p>
    <w:p>
      <w:r>
        <w:rPr>
          <w:b w:val="0"/>
          <w:i w:val="0"/>
        </w:rPr>
        <w:t xml:space="preserve">If a claim is made fraudulently, we may refuse to pay it, as s 56 of the Insurance Contracts Act 1984 (Cth) allows, and we may cancel the Policy. </w:t>
      </w:r>
      <w:hyperlink w:anchor="c_mot_cond_joint_insureds">
        <w:r>
          <w:rPr>
            <w:color w:val="2E5C4E"/>
            <w:u w:val="single"/>
          </w:rPr>
          <w:t xml:space="preserve">The Joint Insureds condition</w:t>
        </w:r>
      </w:hyperlink>
      <w:r>
        <w:rPr>
          <w:b w:val="0"/>
          <w:i w:val="0"/>
        </w:rPr>
        <w:t xml:space="preserve"> applies.</w:t>
      </w:r>
    </w:p>
    <w:p>
      <w:bookmarkStart w:id="88" w:name="c_mot_cond_joint_insureds"/>
      <w:r>
        <w:rPr>
          <w:rFonts w:ascii="Georgia" w:hAnsi="Georgia" w:eastAsia="Georgia"/>
          <w:b/>
          <w:i w:val="0"/>
          <w:color w:val="2E5C4E"/>
          <w:sz w:val="25"/>
        </w:rPr>
        <w:t>Joint Insureds</w:t>
      </w:r>
      <w:bookmarkEnd w:id="88"/>
    </w:p>
    <w:p>
      <w:r>
        <w:rPr>
          <w:b w:val="0"/>
          <w:i w:val="0"/>
        </w:rPr>
        <w:t>Where more than one person is shown in the Schedule as the Named insured, this Policy applies to each of them separately. A fraud, deliberate act or failure to comply with this Policy by one of them does not affect the cover of any other who did not know of it, did not take part in it and did not consent to it.</w:t>
      </w:r>
    </w:p>
    <w:p>
      <w:bookmarkStart w:id="89" w:name="c_mot_cond_complaints"/>
      <w:r>
        <w:rPr>
          <w:rFonts w:ascii="Georgia" w:hAnsi="Georgia" w:eastAsia="Georgia"/>
          <w:b/>
          <w:i w:val="0"/>
          <w:color w:val="2E5C4E"/>
          <w:sz w:val="25"/>
        </w:rPr>
        <w:t>Complaints and Disputes</w:t>
      </w:r>
      <w:bookmarkEnd w:id="89"/>
    </w:p>
    <w:p>
      <w:r>
        <w:rPr>
          <w:b w:val="0"/>
          <w:i w:val="0"/>
        </w:rPr>
        <w:t>If you have a complaint about this Policy or about a claim, contact us first. We will acknowledge your complaint within one business day and give you a written response within 30 calendar days. If you are not satisfied with our response, or we do not respond in time, you may take the complaint to the Australian Financial Complaints Authority (AFCA), www.afca.org.au, 1800 931 678, subject to its terms of reference. AFCA's service is free to you.</w:t>
      </w:r>
    </w:p>
    <w:p>
      <w:bookmarkStart w:id="90" w:name="c_mot_cond_privacy"/>
      <w:r>
        <w:rPr>
          <w:rFonts w:ascii="Georgia" w:hAnsi="Georgia" w:eastAsia="Georgia"/>
          <w:b/>
          <w:i w:val="0"/>
          <w:color w:val="2E5C4E"/>
          <w:sz w:val="25"/>
        </w:rPr>
        <w:t>Privacy</w:t>
      </w:r>
      <w:bookmarkEnd w:id="90"/>
    </w:p>
    <w:p>
      <w:r>
        <w:rPr>
          <w:b w:val="0"/>
          <w:i w:val="0"/>
        </w:rPr>
        <w:t>We collect, use and disclose personal information in accordance with the Privacy Act 1988 (Cth) and our privacy policy, which explains how to access and correct it and how to complain about a privacy matter.</w:t>
      </w:r>
    </w:p>
    <w:p>
      <w:bookmarkStart w:id="91" w:name="c_mot_cond_sanctions"/>
      <w:r>
        <w:rPr>
          <w:rFonts w:ascii="Georgia" w:hAnsi="Georgia" w:eastAsia="Georgia"/>
          <w:b/>
          <w:i w:val="0"/>
          <w:color w:val="2E5C4E"/>
          <w:sz w:val="25"/>
        </w:rPr>
        <w:t>Sanctions</w:t>
      </w:r>
      <w:bookmarkEnd w:id="91"/>
    </w:p>
    <w:p>
      <w:r>
        <w:rPr>
          <w:b w:val="0"/>
          <w:i w:val="0"/>
        </w:rPr>
        <w:t>We do not provide cover, pay any claim or provide any benefit under this Policy to the extent that doing so would expose us to any sanction, prohibition or restriction under:</w:t>
      </w:r>
    </w:p>
    <w:p>
      <w:pPr>
        <w:pStyle w:val="ListBullet"/>
      </w:pPr>
      <w:r>
        <w:rPr>
          <w:b w:val="0"/>
          <w:i w:val="0"/>
        </w:rPr>
        <w:t>the Autonomous Sanctions Act 2011 (Cth), the Charter of the United Nations Act 1945 (Cth), or regulations made under either Act; or</w:t>
      </w:r>
    </w:p>
    <w:p>
      <w:pPr>
        <w:pStyle w:val="ListBullet"/>
      </w:pPr>
      <w:r>
        <w:rPr>
          <w:b w:val="0"/>
          <w:i w:val="0"/>
        </w:rPr>
        <w:t>the trade or economic sanctions laws of the United Kingdom, the United States of America or the European Union, to the extent they apply to us.</w:t>
      </w:r>
    </w:p>
    <w:p>
      <w:r>
        <w:rPr>
          <w:b w:val="0"/>
          <w:i w:val="0"/>
        </w:rPr>
        <w:t>[WP REVIEW: confirm that naming the UK, US and EU regimes is appropriate for Australian capacity; this is a deliberate library-wide scope choice.]</w:t>
      </w:r>
    </w:p>
    <w:p>
      <w:bookmarkStart w:id="92" w:name="c_mot_cond_governing_law_and_jurisdictio"/>
      <w:r>
        <w:rPr>
          <w:rFonts w:ascii="Georgia" w:hAnsi="Georgia" w:eastAsia="Georgia"/>
          <w:b/>
          <w:i w:val="0"/>
          <w:color w:val="2E5C4E"/>
          <w:sz w:val="25"/>
        </w:rPr>
        <w:t>Governing Law and Jurisdiction</w:t>
      </w:r>
      <w:bookmarkEnd w:id="92"/>
    </w:p>
    <w:p>
      <w:r>
        <w:rPr>
          <w:b w:val="0"/>
          <w:i w:val="0"/>
        </w:rPr>
        <w:t>This Policy is governed by the law of the State or Territory shown in the Schedule as the governing-law jurisdiction at inception. Each party submits to the non-exclusive jurisdiction of the courts of that State or Territory. [WP REVIEW: add a service-of-suit clause where the insurer is not APRA-authorised.]</w:t>
      </w:r>
    </w:p>
    <w:p>
      <w:bookmarkStart w:id="93" w:name="c_mot_cond_version_of_this_wording"/>
      <w:r>
        <w:rPr>
          <w:rFonts w:ascii="Georgia" w:hAnsi="Georgia" w:eastAsia="Georgia"/>
          <w:b/>
          <w:i w:val="0"/>
          <w:color w:val="2E5C4E"/>
          <w:sz w:val="25"/>
        </w:rPr>
        <w:t>Version of This Wording</w:t>
      </w:r>
      <w:bookmarkEnd w:id="93"/>
    </w:p>
    <w:p>
      <w:r>
        <w:rPr>
          <w:b w:val="0"/>
          <w:i w:val="0"/>
        </w:rPr>
        <w:t>The version of this wording that applies to your Policy is the version shown in the Schedule. A later version applies only from the next renewal, or from an earlier date we agree with you in writing.</w:t>
      </w:r>
    </w:p>
    <w:p>
      <w:bookmarkStart w:id="94" w:name="c_mot_endorsement_library"/>
      <w:r>
        <w:rPr>
          <w:rFonts w:ascii="Georgia" w:hAnsi="Georgia" w:eastAsia="Georgia"/>
          <w:b/>
          <w:i w:val="0"/>
          <w:color w:val="1C1915"/>
          <w:sz w:val="32"/>
        </w:rPr>
        <w:t>Endorsement Library</w:t>
      </w:r>
      <w:bookmarkEnd w:id="94"/>
    </w:p>
    <w:p>
      <w:r>
        <w:rPr>
          <w:b w:val="0"/>
          <w:i w:val="0"/>
        </w:rPr>
        <w:t xml:space="preserve">An Endorsement applies only where its code is shown in the Schedule. Each modifies only the clauses it names, and is read together with the variables shown for it in the Schedule. Other terms of this Policy continue to apply. If a variable an Endorsement needs is not shown in the Schedule, the default in </w:t>
      </w:r>
      <w:hyperlink w:anchor="c_mot_appendix_default_schedule_values">
        <w:r>
          <w:rPr>
            <w:color w:val="2E5C4E"/>
            <w:u w:val="single"/>
          </w:rPr>
          <w:t xml:space="preserve">the Default Schedule Values</w:t>
        </w:r>
      </w:hyperlink>
      <w:r>
        <w:rPr>
          <w:b w:val="0"/>
          <w:i w:val="0"/>
        </w:rPr>
        <w:t xml:space="preserve"> applies; if there is none, the Endorsement does not apply until we show the variable in the Schedule.</w:t>
      </w:r>
    </w:p>
    <w:tbl>
      <w:tblPr>
        <w:tblStyle w:val="TableGrid"/>
        <w:tblW w:type="auto" w:w="0"/>
        <w:tblLook w:firstColumn="1" w:firstRow="1" w:lastColumn="0" w:lastRow="0" w:noHBand="0" w:noVBand="1" w:val="04A0"/>
      </w:tblPr>
      <w:tblGrid>
        <w:gridCol w:w="4873"/>
        <w:gridCol w:w="4873"/>
      </w:tblGrid>
      <w:tr>
        <w:tc>
          <w:tcPr>
            <w:tcW w:type="dxa" w:w="4873"/>
          </w:tcPr>
          <w:p>
            <w:r/>
            <w:r>
              <w:rPr>
                <w:b w:val="0"/>
                <w:i w:val="0"/>
              </w:rPr>
              <w:t>Code</w:t>
            </w:r>
          </w:p>
        </w:tc>
        <w:tc>
          <w:tcPr>
            <w:tcW w:type="dxa" w:w="4873"/>
          </w:tcPr>
          <w:p>
            <w:r/>
            <w:r>
              <w:rPr>
                <w:b w:val="0"/>
                <w:i w:val="0"/>
              </w:rPr>
              <w:t>Endorsement</w:t>
            </w:r>
          </w:p>
        </w:tc>
      </w:tr>
      <w:tr>
        <w:tc>
          <w:tcPr>
            <w:tcW w:type="dxa" w:w="4873"/>
          </w:tcPr>
          <w:p>
            <w:r/>
            <w:r>
              <w:rPr>
                <w:b w:val="0"/>
                <w:i w:val="0"/>
              </w:rPr>
              <w:t>E01</w:t>
            </w:r>
          </w:p>
        </w:tc>
        <w:tc>
          <w:tcPr>
            <w:tcW w:type="dxa" w:w="4873"/>
          </w:tcPr>
          <w:p>
            <w:r/>
            <w:r>
              <w:rPr>
                <w:b w:val="0"/>
                <w:i w:val="0"/>
              </w:rPr>
              <w:t>Heavy Vehicles</w:t>
            </w:r>
          </w:p>
        </w:tc>
      </w:tr>
      <w:tr>
        <w:tc>
          <w:tcPr>
            <w:tcW w:type="dxa" w:w="4873"/>
          </w:tcPr>
          <w:p>
            <w:r/>
            <w:r>
              <w:rPr>
                <w:b w:val="0"/>
                <w:i w:val="0"/>
              </w:rPr>
              <w:t>E02</w:t>
            </w:r>
          </w:p>
        </w:tc>
        <w:tc>
          <w:tcPr>
            <w:tcW w:type="dxa" w:w="4873"/>
          </w:tcPr>
          <w:p>
            <w:r/>
            <w:r>
              <w:rPr>
                <w:b w:val="0"/>
                <w:i w:val="0"/>
              </w:rPr>
              <w:t>Refrigerated Vehicles</w:t>
            </w:r>
          </w:p>
        </w:tc>
      </w:tr>
      <w:tr>
        <w:tc>
          <w:tcPr>
            <w:tcW w:type="dxa" w:w="4873"/>
          </w:tcPr>
          <w:p>
            <w:r/>
            <w:r>
              <w:rPr>
                <w:b w:val="0"/>
                <w:i w:val="0"/>
              </w:rPr>
              <w:t>E03</w:t>
            </w:r>
          </w:p>
        </w:tc>
        <w:tc>
          <w:tcPr>
            <w:tcW w:type="dxa" w:w="4873"/>
          </w:tcPr>
          <w:p>
            <w:r/>
            <w:r>
              <w:rPr>
                <w:b w:val="0"/>
                <w:i w:val="0"/>
              </w:rPr>
              <w:t>Hire, Fare or Reward</w:t>
            </w:r>
          </w:p>
        </w:tc>
      </w:tr>
      <w:tr>
        <w:tc>
          <w:tcPr>
            <w:tcW w:type="dxa" w:w="4873"/>
          </w:tcPr>
          <w:p>
            <w:r/>
            <w:r>
              <w:rPr>
                <w:b w:val="0"/>
                <w:i w:val="0"/>
              </w:rPr>
              <w:t>E04</w:t>
            </w:r>
          </w:p>
        </w:tc>
        <w:tc>
          <w:tcPr>
            <w:tcW w:type="dxa" w:w="4873"/>
          </w:tcPr>
          <w:p>
            <w:r/>
            <w:r>
              <w:rPr>
                <w:b w:val="0"/>
                <w:i w:val="0"/>
              </w:rPr>
              <w:t>Increased Tools of Trade</w:t>
            </w:r>
          </w:p>
        </w:tc>
      </w:tr>
      <w:tr>
        <w:tc>
          <w:tcPr>
            <w:tcW w:type="dxa" w:w="4873"/>
          </w:tcPr>
          <w:p>
            <w:r/>
            <w:r>
              <w:rPr>
                <w:b w:val="0"/>
                <w:i w:val="0"/>
              </w:rPr>
              <w:t>E05</w:t>
            </w:r>
          </w:p>
        </w:tc>
        <w:tc>
          <w:tcPr>
            <w:tcW w:type="dxa" w:w="4873"/>
          </w:tcPr>
          <w:p>
            <w:r/>
            <w:r>
              <w:rPr>
                <w:b w:val="0"/>
                <w:i w:val="0"/>
              </w:rPr>
              <w:t>Agreed Value</w:t>
            </w:r>
          </w:p>
        </w:tc>
      </w:tr>
      <w:tr>
        <w:tc>
          <w:tcPr>
            <w:tcW w:type="dxa" w:w="4873"/>
          </w:tcPr>
          <w:p>
            <w:r/>
            <w:r>
              <w:rPr>
                <w:b w:val="0"/>
                <w:i w:val="0"/>
              </w:rPr>
              <w:t>E06</w:t>
            </w:r>
          </w:p>
        </w:tc>
        <w:tc>
          <w:tcPr>
            <w:tcW w:type="dxa" w:w="4873"/>
          </w:tcPr>
          <w:p>
            <w:r/>
            <w:r>
              <w:rPr>
                <w:b w:val="0"/>
                <w:i w:val="0"/>
              </w:rPr>
              <w:t>Increased Windscreen Cover</w:t>
            </w:r>
          </w:p>
        </w:tc>
      </w:tr>
      <w:tr>
        <w:tc>
          <w:tcPr>
            <w:tcW w:type="dxa" w:w="4873"/>
          </w:tcPr>
          <w:p>
            <w:r/>
            <w:r>
              <w:rPr>
                <w:b w:val="0"/>
                <w:i w:val="0"/>
              </w:rPr>
              <w:t>E07</w:t>
            </w:r>
          </w:p>
        </w:tc>
        <w:tc>
          <w:tcPr>
            <w:tcW w:type="dxa" w:w="4873"/>
          </w:tcPr>
          <w:p>
            <w:r/>
            <w:r>
              <w:rPr>
                <w:b w:val="0"/>
                <w:i w:val="0"/>
              </w:rPr>
              <w:t>Fleet Telematics</w:t>
            </w:r>
          </w:p>
        </w:tc>
      </w:tr>
      <w:tr>
        <w:tc>
          <w:tcPr>
            <w:tcW w:type="dxa" w:w="4873"/>
          </w:tcPr>
          <w:p>
            <w:r/>
            <w:r>
              <w:rPr>
                <w:b w:val="0"/>
                <w:i w:val="0"/>
              </w:rPr>
              <w:t>E08</w:t>
            </w:r>
          </w:p>
        </w:tc>
        <w:tc>
          <w:tcPr>
            <w:tcW w:type="dxa" w:w="4873"/>
          </w:tcPr>
          <w:p>
            <w:r/>
            <w:r>
              <w:rPr>
                <w:b w:val="0"/>
                <w:i w:val="0"/>
              </w:rPr>
              <w:t>Novated Lease Vehicles</w:t>
            </w:r>
          </w:p>
        </w:tc>
      </w:tr>
      <w:tr>
        <w:tc>
          <w:tcPr>
            <w:tcW w:type="dxa" w:w="4873"/>
          </w:tcPr>
          <w:p>
            <w:r/>
            <w:r>
              <w:rPr>
                <w:b w:val="0"/>
                <w:i w:val="0"/>
              </w:rPr>
              <w:t>E09</w:t>
            </w:r>
          </w:p>
        </w:tc>
        <w:tc>
          <w:tcPr>
            <w:tcW w:type="dxa" w:w="4873"/>
          </w:tcPr>
          <w:p>
            <w:r/>
            <w:r>
              <w:rPr>
                <w:b w:val="0"/>
                <w:i w:val="0"/>
              </w:rPr>
              <w:t>Large Fleet Excess Layer</w:t>
            </w:r>
          </w:p>
        </w:tc>
      </w:tr>
      <w:tr>
        <w:tc>
          <w:tcPr>
            <w:tcW w:type="dxa" w:w="4873"/>
          </w:tcPr>
          <w:p>
            <w:r/>
            <w:r>
              <w:rPr>
                <w:b w:val="0"/>
                <w:i w:val="0"/>
              </w:rPr>
              <w:t>E10</w:t>
            </w:r>
          </w:p>
        </w:tc>
        <w:tc>
          <w:tcPr>
            <w:tcW w:type="dxa" w:w="4873"/>
          </w:tcPr>
          <w:p>
            <w:r/>
            <w:r>
              <w:rPr>
                <w:b w:val="0"/>
                <w:i w:val="0"/>
              </w:rPr>
              <w:t>Extended Hire Vehicle</w:t>
            </w:r>
          </w:p>
        </w:tc>
      </w:tr>
      <w:tr>
        <w:tc>
          <w:tcPr>
            <w:tcW w:type="dxa" w:w="4873"/>
          </w:tcPr>
          <w:p>
            <w:r/>
            <w:r>
              <w:rPr>
                <w:b w:val="0"/>
                <w:i w:val="0"/>
              </w:rPr>
              <w:t>E11</w:t>
            </w:r>
          </w:p>
        </w:tc>
        <w:tc>
          <w:tcPr>
            <w:tcW w:type="dxa" w:w="4873"/>
          </w:tcPr>
          <w:p>
            <w:r/>
            <w:r>
              <w:rPr>
                <w:b w:val="0"/>
                <w:i w:val="0"/>
              </w:rPr>
              <w:t>Registered Mobile Plant</w:t>
            </w:r>
          </w:p>
        </w:tc>
      </w:tr>
      <w:tr>
        <w:tc>
          <w:tcPr>
            <w:tcW w:type="dxa" w:w="4873"/>
          </w:tcPr>
          <w:p>
            <w:r/>
            <w:r>
              <w:rPr>
                <w:b w:val="0"/>
                <w:i w:val="0"/>
              </w:rPr>
              <w:t>E12</w:t>
            </w:r>
          </w:p>
        </w:tc>
        <w:tc>
          <w:tcPr>
            <w:tcW w:type="dxa" w:w="4873"/>
          </w:tcPr>
          <w:p>
            <w:r/>
            <w:r>
              <w:rPr>
                <w:b w:val="0"/>
                <w:i w:val="0"/>
              </w:rPr>
              <w:t>Dangerous Goods Transport</w:t>
            </w:r>
          </w:p>
        </w:tc>
      </w:tr>
      <w:tr>
        <w:tc>
          <w:tcPr>
            <w:tcW w:type="dxa" w:w="4873"/>
          </w:tcPr>
          <w:p>
            <w:r/>
            <w:r>
              <w:rPr>
                <w:b w:val="0"/>
                <w:i w:val="0"/>
              </w:rPr>
              <w:t>E13</w:t>
            </w:r>
          </w:p>
        </w:tc>
        <w:tc>
          <w:tcPr>
            <w:tcW w:type="dxa" w:w="4873"/>
          </w:tcPr>
          <w:p>
            <w:r/>
            <w:r>
              <w:rPr>
                <w:b w:val="0"/>
                <w:i w:val="0"/>
              </w:rPr>
              <w:t>Interstate Long-Haul</w:t>
            </w:r>
          </w:p>
        </w:tc>
      </w:tr>
      <w:tr>
        <w:tc>
          <w:tcPr>
            <w:tcW w:type="dxa" w:w="4873"/>
          </w:tcPr>
          <w:p>
            <w:r/>
            <w:r>
              <w:rPr>
                <w:b w:val="0"/>
                <w:i w:val="0"/>
              </w:rPr>
              <w:t>E14</w:t>
            </w:r>
          </w:p>
        </w:tc>
        <w:tc>
          <w:tcPr>
            <w:tcW w:type="dxa" w:w="4873"/>
          </w:tcPr>
          <w:p>
            <w:r/>
            <w:r>
              <w:rPr>
                <w:b w:val="0"/>
                <w:i w:val="0"/>
              </w:rPr>
              <w:t>Electric and Hybrid Vehicles</w:t>
            </w:r>
          </w:p>
        </w:tc>
      </w:tr>
      <w:tr>
        <w:tc>
          <w:tcPr>
            <w:tcW w:type="dxa" w:w="4873"/>
          </w:tcPr>
          <w:p>
            <w:r/>
            <w:r>
              <w:rPr>
                <w:b w:val="0"/>
                <w:i w:val="0"/>
              </w:rPr>
              <w:t>E15</w:t>
            </w:r>
          </w:p>
        </w:tc>
        <w:tc>
          <w:tcPr>
            <w:tcW w:type="dxa" w:w="4873"/>
          </w:tcPr>
          <w:p>
            <w:r/>
            <w:r>
              <w:rPr>
                <w:b w:val="0"/>
                <w:i w:val="0"/>
              </w:rPr>
              <w:t>Automated Driving Systems</w:t>
            </w:r>
          </w:p>
        </w:tc>
      </w:tr>
      <w:tr>
        <w:tc>
          <w:tcPr>
            <w:tcW w:type="dxa" w:w="4873"/>
          </w:tcPr>
          <w:p>
            <w:r/>
            <w:r>
              <w:rPr>
                <w:b w:val="0"/>
                <w:i w:val="0"/>
              </w:rPr>
              <w:t>E16</w:t>
            </w:r>
          </w:p>
        </w:tc>
        <w:tc>
          <w:tcPr>
            <w:tcW w:type="dxa" w:w="4873"/>
          </w:tcPr>
          <w:p>
            <w:r/>
            <w:r>
              <w:rPr>
                <w:b w:val="0"/>
                <w:i w:val="0"/>
              </w:rPr>
              <w:t>Tow Trucks and Recovery Vehicles</w:t>
            </w:r>
          </w:p>
        </w:tc>
      </w:tr>
      <w:tr>
        <w:tc>
          <w:tcPr>
            <w:tcW w:type="dxa" w:w="4873"/>
          </w:tcPr>
          <w:p>
            <w:r/>
            <w:r>
              <w:rPr>
                <w:b w:val="0"/>
                <w:i w:val="0"/>
              </w:rPr>
              <w:t>E17</w:t>
            </w:r>
          </w:p>
        </w:tc>
        <w:tc>
          <w:tcPr>
            <w:tcW w:type="dxa" w:w="4873"/>
          </w:tcPr>
          <w:p>
            <w:r/>
            <w:r>
              <w:rPr>
                <w:b w:val="0"/>
                <w:i w:val="0"/>
              </w:rPr>
              <w:t>Courtesy Vehicle Fleets</w:t>
            </w:r>
          </w:p>
        </w:tc>
      </w:tr>
      <w:tr>
        <w:tc>
          <w:tcPr>
            <w:tcW w:type="dxa" w:w="4873"/>
          </w:tcPr>
          <w:p>
            <w:r/>
            <w:r>
              <w:rPr>
                <w:b w:val="0"/>
                <w:i w:val="0"/>
              </w:rPr>
              <w:t>E18</w:t>
            </w:r>
          </w:p>
        </w:tc>
        <w:tc>
          <w:tcPr>
            <w:tcW w:type="dxa" w:w="4873"/>
          </w:tcPr>
          <w:p>
            <w:r/>
            <w:r>
              <w:rPr>
                <w:b w:val="0"/>
                <w:i w:val="0"/>
              </w:rPr>
              <w:t>Sole Operator</w:t>
            </w:r>
          </w:p>
        </w:tc>
      </w:tr>
    </w:tbl>
    <w:p>
      <w:bookmarkStart w:id="95" w:name="c_mot_end_e01"/>
      <w:r>
        <w:rPr>
          <w:rFonts w:ascii="Georgia" w:hAnsi="Georgia" w:eastAsia="Georgia"/>
          <w:b/>
          <w:i w:val="0"/>
          <w:color w:val="2E5C4E"/>
          <w:sz w:val="25"/>
        </w:rPr>
        <w:t>E01 Heavy Vehicles</w:t>
      </w:r>
      <w:bookmarkEnd w:id="95"/>
    </w:p>
    <w:p>
      <w:r>
        <w:rPr>
          <w:b w:val="0"/>
          <w:i w:val="0"/>
        </w:rPr>
        <w:t xml:space="preserve">This Endorsement applies to each Insured vehicle shown in the Schedule with a gross vehicle mass over 4.5 tonnes. For those vehicles: the basic excess shown for heavy vehicles in the Schedule applies; we pay the reasonable cost of a replacement vehicle hired while the vehicle is off the road after loss or damage covered by </w:t>
      </w:r>
      <w:hyperlink w:anchor="c_mot_section_vehicle_cover">
        <w:r>
          <w:rPr>
            <w:color w:val="2E5C4E"/>
            <w:u w:val="single"/>
          </w:rPr>
          <w:t xml:space="preserve">the Cover for Your Vehicles section</w:t>
        </w:r>
      </w:hyperlink>
      <w:r>
        <w:rPr>
          <w:b w:val="0"/>
          <w:i w:val="0"/>
        </w:rPr>
        <w:t xml:space="preserve">, up to the daily amount and period shown in the Schedule, after a waiting period of 48 hours; and </w:t>
      </w:r>
      <w:hyperlink w:anchor="c_mot_obl_maintain_vehicles">
        <w:r>
          <w:rPr>
            <w:color w:val="2E5C4E"/>
            <w:u w:val="single"/>
          </w:rPr>
          <w:t xml:space="preserve">the Maintain Your Vehicles obligation</w:t>
        </w:r>
      </w:hyperlink>
      <w:r>
        <w:rPr>
          <w:b w:val="0"/>
          <w:i w:val="0"/>
        </w:rPr>
        <w:t xml:space="preserve"> applies with the addition that you must keep the maintenance, fatigue and mass records the Heavy Vehicle National Law requires and give them to us on request.</w:t>
      </w:r>
    </w:p>
    <w:p>
      <w:r>
        <w:rPr>
          <w:b w:val="0"/>
          <w:i w:val="0"/>
        </w:rPr>
        <w:t>Schedule variables: heavy vehicle basic excess; replacement vehicle daily amount and period.</w:t>
      </w:r>
    </w:p>
    <w:p>
      <w:bookmarkStart w:id="96" w:name="c_mot_end_e02"/>
      <w:r>
        <w:rPr>
          <w:rFonts w:ascii="Georgia" w:hAnsi="Georgia" w:eastAsia="Georgia"/>
          <w:b/>
          <w:i w:val="0"/>
          <w:color w:val="2E5C4E"/>
          <w:sz w:val="25"/>
        </w:rPr>
        <w:t>E02 Refrigerated Vehicles</w:t>
      </w:r>
      <w:bookmarkEnd w:id="96"/>
    </w:p>
    <w:p>
      <w:r>
        <w:rPr>
          <w:b w:val="0"/>
          <w:i w:val="0"/>
        </w:rPr>
        <w:t xml:space="preserve">For each Insured vehicle shown in the Schedule as refrigerated, we pay for the spoilage of goods carried in it caused by the failure of its refrigeration unit following loss or damage covered by </w:t>
      </w:r>
      <w:hyperlink w:anchor="c_mot_section_vehicle_cover">
        <w:r>
          <w:rPr>
            <w:color w:val="2E5C4E"/>
            <w:u w:val="single"/>
          </w:rPr>
          <w:t xml:space="preserve">the Cover for Your Vehicles section</w:t>
        </w:r>
      </w:hyperlink>
      <w:r>
        <w:rPr>
          <w:b w:val="0"/>
          <w:i w:val="0"/>
        </w:rPr>
        <w:t xml:space="preserve">, or following a mechanical or electrical breakdown of the refrigeration unit, up to the amount shown in the Schedule for each Occurrence. For this Endorsement, the exclusions in </w:t>
      </w:r>
      <w:hyperlink w:anchor="c_mot_excl_vehicle_cover">
        <w:r>
          <w:rPr>
            <w:color w:val="2E5C4E"/>
            <w:u w:val="single"/>
          </w:rPr>
          <w:t xml:space="preserve">the What Is Not Covered for Your Vehicles exclusion</w:t>
        </w:r>
      </w:hyperlink>
      <w:r>
        <w:rPr>
          <w:b w:val="0"/>
          <w:i w:val="0"/>
        </w:rPr>
        <w:t xml:space="preserve"> for mechanical, electrical or electronic breakdown and for loss of use and other consequential loss do not apply to spoilage covered by it. We do not pay for spoilage caused by the unit being switched off, a failure to maintain it, or a delay in delivery alone.</w:t>
      </w:r>
    </w:p>
    <w:p>
      <w:r>
        <w:rPr>
          <w:b w:val="0"/>
          <w:i w:val="0"/>
        </w:rPr>
        <w:t>Schedule variables: vehicles covered; spoilage limit each Occurrence; spoilage excess.</w:t>
      </w:r>
    </w:p>
    <w:p>
      <w:bookmarkStart w:id="97" w:name="c_mot_end_e03"/>
      <w:r>
        <w:rPr>
          <w:rFonts w:ascii="Georgia" w:hAnsi="Georgia" w:eastAsia="Georgia"/>
          <w:b/>
          <w:i w:val="0"/>
          <w:color w:val="2E5C4E"/>
          <w:sz w:val="25"/>
        </w:rPr>
        <w:t>E03 Hire, Fare or Reward</w:t>
      </w:r>
      <w:bookmarkEnd w:id="97"/>
    </w:p>
    <w:p>
      <w:hyperlink w:anchor="c_mot_excl_hire_fare_or_reward">
        <w:r>
          <w:rPr>
            <w:color w:val="2E5C4E"/>
            <w:u w:val="single"/>
          </w:rPr>
          <w:t xml:space="preserve">The Hire, Fare or Reward exclusion</w:t>
        </w:r>
      </w:hyperlink>
      <w:r>
        <w:rPr>
          <w:b w:val="0"/>
          <w:i w:val="0"/>
        </w:rPr>
        <w:t xml:space="preserve"> does not apply to the Insured vehicles shown in the Schedule for this Endorsement while they are used for the hire, fare or reward purposes shown, including rideshare or delivery for the platforms named. The vehicle must be registered for that use where the law requires it, and the driver must hold any authority the law requires for it.</w:t>
      </w:r>
    </w:p>
    <w:p>
      <w:r>
        <w:rPr>
          <w:b w:val="0"/>
          <w:i w:val="0"/>
        </w:rPr>
        <w:t>Schedule variables: vehicles covered; purposes and platforms; additional excess.</w:t>
      </w:r>
    </w:p>
    <w:p>
      <w:bookmarkStart w:id="98" w:name="c_mot_end_e04"/>
      <w:r>
        <w:rPr>
          <w:rFonts w:ascii="Georgia" w:hAnsi="Georgia" w:eastAsia="Georgia"/>
          <w:b/>
          <w:i w:val="0"/>
          <w:color w:val="2E5C4E"/>
          <w:sz w:val="25"/>
        </w:rPr>
        <w:t>E04 Increased Tools of Trade</w:t>
      </w:r>
      <w:bookmarkEnd w:id="98"/>
    </w:p>
    <w:p>
      <w:r>
        <w:rPr>
          <w:b w:val="0"/>
          <w:i w:val="0"/>
        </w:rPr>
        <w:t xml:space="preserve">The tools of trade benefit in </w:t>
      </w:r>
      <w:hyperlink w:anchor="c_mot_ext_additional_benefits">
        <w:r>
          <w:rPr>
            <w:color w:val="2E5C4E"/>
            <w:u w:val="single"/>
          </w:rPr>
          <w:t xml:space="preserve">the Additional Benefits extension</w:t>
        </w:r>
      </w:hyperlink>
      <w:r>
        <w:rPr>
          <w:b w:val="0"/>
          <w:i w:val="0"/>
        </w:rPr>
        <w:t xml:space="preserve"> is increased to the amount shown in the Schedule for each vehicle. Tools of trade must be kept in a locked vehicle or a locked toolbox fixed to it when unattended; we do not pay for theft from an unattended vehicle without signs of forced entry.</w:t>
      </w:r>
    </w:p>
    <w:p>
      <w:r>
        <w:rPr>
          <w:b w:val="0"/>
          <w:i w:val="0"/>
        </w:rPr>
        <w:t>Schedule variables: tools of trade limit for each vehicle.</w:t>
      </w:r>
    </w:p>
    <w:p>
      <w:bookmarkStart w:id="99" w:name="c_mot_end_e05"/>
      <w:r>
        <w:rPr>
          <w:rFonts w:ascii="Georgia" w:hAnsi="Georgia" w:eastAsia="Georgia"/>
          <w:b/>
          <w:i w:val="0"/>
          <w:color w:val="2E5C4E"/>
          <w:sz w:val="25"/>
        </w:rPr>
        <w:t>E05 Agreed Value</w:t>
      </w:r>
      <w:bookmarkEnd w:id="99"/>
    </w:p>
    <w:p>
      <w:r>
        <w:rPr>
          <w:b w:val="0"/>
          <w:i w:val="0"/>
        </w:rPr>
        <w:t xml:space="preserve">Each Insured vehicle shown in the Schedule for this Endorsement is insured for its Agreed value, and </w:t>
      </w:r>
      <w:hyperlink w:anchor="c_mot_pay_basis_of_settlement">
        <w:r>
          <w:rPr>
            <w:color w:val="2E5C4E"/>
            <w:u w:val="single"/>
          </w:rPr>
          <w:t xml:space="preserve">the Basis of Settlement provision</w:t>
        </w:r>
      </w:hyperlink>
      <w:r>
        <w:rPr>
          <w:b w:val="0"/>
          <w:i w:val="0"/>
        </w:rPr>
        <w:t xml:space="preserve"> settles a Total loss on that basis. The Agreed value is fixed at inception or renewal and does not change because the Schedule is reissued for another reason.</w:t>
      </w:r>
    </w:p>
    <w:p>
      <w:r>
        <w:rPr>
          <w:b w:val="0"/>
          <w:i w:val="0"/>
        </w:rPr>
        <w:t>Schedule variables: vehicles covered; Agreed value of each.</w:t>
      </w:r>
    </w:p>
    <w:p>
      <w:bookmarkStart w:id="100" w:name="c_mot_end_e06"/>
      <w:r>
        <w:rPr>
          <w:rFonts w:ascii="Georgia" w:hAnsi="Georgia" w:eastAsia="Georgia"/>
          <w:b/>
          <w:i w:val="0"/>
          <w:color w:val="2E5C4E"/>
          <w:sz w:val="25"/>
        </w:rPr>
        <w:t>E06 Increased Windscreen Cover</w:t>
      </w:r>
      <w:bookmarkEnd w:id="100"/>
    </w:p>
    <w:p>
      <w:r>
        <w:rPr>
          <w:b w:val="0"/>
          <w:i w:val="0"/>
        </w:rPr>
        <w:t>The windscreen and window glass additional benefit is increased to the amount shown in the Schedule for each Occurrence, and includes the recalibration of cameras and sensors mounted on the glass.</w:t>
      </w:r>
    </w:p>
    <w:p>
      <w:r>
        <w:rPr>
          <w:b w:val="0"/>
          <w:i w:val="0"/>
        </w:rPr>
        <w:t>Schedule variables: windscreen limit each Occurrence.</w:t>
      </w:r>
    </w:p>
    <w:p>
      <w:bookmarkStart w:id="101" w:name="c_mot_end_e07"/>
      <w:r>
        <w:rPr>
          <w:rFonts w:ascii="Georgia" w:hAnsi="Georgia" w:eastAsia="Georgia"/>
          <w:b/>
          <w:i w:val="0"/>
          <w:color w:val="2E5C4E"/>
          <w:sz w:val="25"/>
        </w:rPr>
        <w:t>E07 Fleet Telematics</w:t>
      </w:r>
      <w:bookmarkEnd w:id="101"/>
    </w:p>
    <w:p>
      <w:r>
        <w:rPr>
          <w:b w:val="0"/>
          <w:i w:val="0"/>
        </w:rPr>
        <w:t>You agree to keep the telematics system named in the Schedule installed and operating in the Insured vehicles shown, and to give us, on request and not more often than quarterly, the summary reports named in the Schedule. We use the reports only to review the premium and terms at renewal and to assess claims. A failure of the system that you did not cause does not affect cover.</w:t>
      </w:r>
    </w:p>
    <w:p>
      <w:r>
        <w:rPr>
          <w:b w:val="0"/>
          <w:i w:val="0"/>
        </w:rPr>
        <w:t>Schedule variables: telematics system; vehicles covered; reports.</w:t>
      </w:r>
    </w:p>
    <w:p>
      <w:bookmarkStart w:id="102" w:name="c_mot_end_e08"/>
      <w:r>
        <w:rPr>
          <w:rFonts w:ascii="Georgia" w:hAnsi="Georgia" w:eastAsia="Georgia"/>
          <w:b/>
          <w:i w:val="0"/>
          <w:color w:val="2E5C4E"/>
          <w:sz w:val="25"/>
        </w:rPr>
        <w:t>E08 Novated Lease Vehicles</w:t>
      </w:r>
      <w:bookmarkEnd w:id="102"/>
    </w:p>
    <w:p>
      <w:r>
        <w:rPr>
          <w:b w:val="0"/>
          <w:i w:val="0"/>
        </w:rPr>
        <w:t xml:space="preserve">For each Insured vehicle shown in the Schedule as held under a novated lease, the employee named for it is an Insured person and the vehicle's Permitted use includes their private use. The lessor named is an interested party under </w:t>
      </w:r>
      <w:hyperlink w:anchor="c_mot_cond_subrogation_and_interested_pa">
        <w:r>
          <w:rPr>
            <w:color w:val="2E5C4E"/>
            <w:u w:val="single"/>
          </w:rPr>
          <w:t xml:space="preserve">the Subrogation and Interested Parties condition</w:t>
        </w:r>
      </w:hyperlink>
      <w:r>
        <w:rPr>
          <w:b w:val="0"/>
          <w:i w:val="0"/>
        </w:rPr>
        <w:t>. Where the employee leaves your employment, cover for the vehicle continues until the end of the Period of Insurance or until the lease is assigned, whichever is earlier.</w:t>
      </w:r>
    </w:p>
    <w:p>
      <w:r>
        <w:rPr>
          <w:b w:val="0"/>
          <w:i w:val="0"/>
        </w:rPr>
        <w:t>Schedule variables: vehicles covered; employee; lessor.</w:t>
      </w:r>
    </w:p>
    <w:p>
      <w:bookmarkStart w:id="103" w:name="c_mot_end_e09"/>
      <w:r>
        <w:rPr>
          <w:rFonts w:ascii="Georgia" w:hAnsi="Georgia" w:eastAsia="Georgia"/>
          <w:b/>
          <w:i w:val="0"/>
          <w:color w:val="2E5C4E"/>
          <w:sz w:val="25"/>
        </w:rPr>
        <w:t>E09 Large Fleet Excess Layer</w:t>
      </w:r>
      <w:bookmarkEnd w:id="103"/>
    </w:p>
    <w:p>
      <w:r>
        <w:rPr>
          <w:b w:val="0"/>
          <w:i w:val="0"/>
        </w:rPr>
        <w:t xml:space="preserve">For claims under </w:t>
      </w:r>
      <w:hyperlink w:anchor="c_mot_section_vehicle_cover">
        <w:r>
          <w:rPr>
            <w:color w:val="2E5C4E"/>
            <w:u w:val="single"/>
          </w:rPr>
          <w:t xml:space="preserve">the Cover for Your Vehicles section</w:t>
        </w:r>
      </w:hyperlink>
      <w:r>
        <w:rPr>
          <w:b w:val="0"/>
          <w:i w:val="0"/>
        </w:rPr>
        <w:t>, you bear each claim up to the self-insured amount shown in the Schedule, in place of the basic excess, and we pay the amount above it. Where the Schedule shows an aggregate, once the self-insured amounts you have borne in the Period of Insurance reach the aggregate, the basic excess applies to later claims instead.</w:t>
      </w:r>
    </w:p>
    <w:p>
      <w:r>
        <w:rPr>
          <w:b w:val="0"/>
          <w:i w:val="0"/>
        </w:rPr>
        <w:t>Schedule variables: self-insured amount each claim; annual aggregate.</w:t>
      </w:r>
    </w:p>
    <w:p>
      <w:bookmarkStart w:id="104" w:name="c_mot_end_e10"/>
      <w:r>
        <w:rPr>
          <w:rFonts w:ascii="Georgia" w:hAnsi="Georgia" w:eastAsia="Georgia"/>
          <w:b/>
          <w:i w:val="0"/>
          <w:color w:val="2E5C4E"/>
          <w:sz w:val="25"/>
        </w:rPr>
        <w:t>E10 Extended Hire Vehicle</w:t>
      </w:r>
      <w:bookmarkEnd w:id="104"/>
    </w:p>
    <w:p>
      <w:r>
        <w:rPr>
          <w:b w:val="0"/>
          <w:i w:val="0"/>
        </w:rPr>
        <w:t>The hire vehicle additional benefits are increased to the daily amount and period shown in the Schedule, and the benefit for hire after an accident applies whoever was at fault.</w:t>
      </w:r>
    </w:p>
    <w:p>
      <w:r>
        <w:rPr>
          <w:b w:val="0"/>
          <w:i w:val="0"/>
        </w:rPr>
        <w:t>Schedule variables: daily amount; period.</w:t>
      </w:r>
    </w:p>
    <w:p>
      <w:bookmarkStart w:id="105" w:name="c_mot_end_e11"/>
      <w:r>
        <w:rPr>
          <w:rFonts w:ascii="Georgia" w:hAnsi="Georgia" w:eastAsia="Georgia"/>
          <w:b/>
          <w:i w:val="0"/>
          <w:color w:val="2E5C4E"/>
          <w:sz w:val="25"/>
        </w:rPr>
        <w:t>E11 Registered Mobile Plant</w:t>
      </w:r>
      <w:bookmarkEnd w:id="105"/>
    </w:p>
    <w:p>
      <w:r>
        <w:rPr>
          <w:b w:val="0"/>
          <w:i w:val="0"/>
        </w:rPr>
        <w:t>Registered mobile plant shown in the Schedule is an Insured vehicle while it is driven on a public road, at the cover level shown. Loss, damage and liability while it is operated as a Tool of trade are not covered by this Policy and should be insured under a plant and equipment or liability policy.</w:t>
      </w:r>
    </w:p>
    <w:p>
      <w:r>
        <w:rPr>
          <w:b w:val="0"/>
          <w:i w:val="0"/>
        </w:rPr>
        <w:t>Schedule variables: plant covered; cover level; Sum insured.</w:t>
      </w:r>
    </w:p>
    <w:p>
      <w:bookmarkStart w:id="106" w:name="c_mot_end_e12"/>
      <w:r>
        <w:rPr>
          <w:rFonts w:ascii="Georgia" w:hAnsi="Georgia" w:eastAsia="Georgia"/>
          <w:b/>
          <w:i w:val="0"/>
          <w:color w:val="2E5C4E"/>
          <w:sz w:val="25"/>
        </w:rPr>
        <w:t>E12 Dangerous Goods Transport</w:t>
      </w:r>
      <w:bookmarkEnd w:id="106"/>
    </w:p>
    <w:p>
      <w:r>
        <w:rPr>
          <w:b w:val="0"/>
          <w:i w:val="0"/>
        </w:rPr>
        <w:t xml:space="preserve">The Dangerous goods sub-limit in </w:t>
      </w:r>
      <w:hyperlink w:anchor="c_mot_ext_dangerous_goods">
        <w:r>
          <w:rPr>
            <w:color w:val="2E5C4E"/>
            <w:u w:val="single"/>
          </w:rPr>
          <w:t xml:space="preserve">the Dangerous Goods Liability extension</w:t>
        </w:r>
      </w:hyperlink>
      <w:r>
        <w:rPr>
          <w:b w:val="0"/>
          <w:i w:val="0"/>
        </w:rPr>
        <w:t xml:space="preserve"> is increased to the amount shown in the Schedule. You must comply with the law that applies to the carriage of the classes of Dangerous goods shown, including placarding, driver licensing and vehicle approval, and we cover the reasonable cost of clean-up and removal of Dangerous goods spilled from an Insured vehicle that a public authority requires, within that sub-limit.</w:t>
      </w:r>
    </w:p>
    <w:p>
      <w:r>
        <w:rPr>
          <w:b w:val="0"/>
          <w:i w:val="0"/>
        </w:rPr>
        <w:t>Schedule variables: Dangerous goods sub-limit; classes carried.</w:t>
      </w:r>
    </w:p>
    <w:p>
      <w:bookmarkStart w:id="107" w:name="c_mot_end_e13"/>
      <w:r>
        <w:rPr>
          <w:rFonts w:ascii="Georgia" w:hAnsi="Georgia" w:eastAsia="Georgia"/>
          <w:b/>
          <w:i w:val="0"/>
          <w:color w:val="2E5C4E"/>
          <w:sz w:val="25"/>
        </w:rPr>
        <w:t>E13 Interstate Long-Haul</w:t>
      </w:r>
      <w:bookmarkEnd w:id="107"/>
    </w:p>
    <w:p>
      <w:r>
        <w:rPr>
          <w:b w:val="0"/>
          <w:i w:val="0"/>
        </w:rPr>
        <w:t xml:space="preserve">For Insured vehicles used on interstate long-haul routes, we also pay, after loss or damage covered by </w:t>
      </w:r>
      <w:hyperlink w:anchor="c_mot_section_vehicle_cover">
        <w:r>
          <w:rPr>
            <w:color w:val="2E5C4E"/>
            <w:u w:val="single"/>
          </w:rPr>
          <w:t xml:space="preserve">the Cover for Your Vehicles section</w:t>
        </w:r>
      </w:hyperlink>
      <w:r>
        <w:rPr>
          <w:b w:val="0"/>
          <w:i w:val="0"/>
        </w:rPr>
        <w:t xml:space="preserve"> more than 500 km from the vehicle's garaging address, the reasonable cost of roadside assistance, the driver's accommodation and return travel, and a relief driver to complete the trip, up to the amount shown in the Schedule for each Occurrence.</w:t>
      </w:r>
    </w:p>
    <w:p>
      <w:r>
        <w:rPr>
          <w:b w:val="0"/>
          <w:i w:val="0"/>
        </w:rPr>
        <w:t>Schedule variables: limit each Occurrence.</w:t>
      </w:r>
    </w:p>
    <w:p>
      <w:bookmarkStart w:id="108" w:name="c_mot_end_e14"/>
      <w:r>
        <w:rPr>
          <w:rFonts w:ascii="Georgia" w:hAnsi="Georgia" w:eastAsia="Georgia"/>
          <w:b/>
          <w:i w:val="0"/>
          <w:color w:val="2E5C4E"/>
          <w:sz w:val="25"/>
        </w:rPr>
        <w:t>E14 Electric and Hybrid Vehicles</w:t>
      </w:r>
      <w:bookmarkEnd w:id="108"/>
    </w:p>
    <w:p>
      <w:r>
        <w:rPr>
          <w:b w:val="0"/>
          <w:i w:val="0"/>
        </w:rPr>
        <w:t xml:space="preserve">For each Insured vehicle that is electric or hybrid, </w:t>
      </w:r>
      <w:hyperlink w:anchor="c_mot_section_vehicle_cover">
        <w:r>
          <w:rPr>
            <w:color w:val="2E5C4E"/>
            <w:u w:val="single"/>
          </w:rPr>
          <w:t xml:space="preserve">the Cover for Your Vehicles section</w:t>
        </w:r>
      </w:hyperlink>
      <w:r>
        <w:rPr>
          <w:b w:val="0"/>
          <w:i w:val="0"/>
        </w:rPr>
        <w:t xml:space="preserve"> includes Accidental loss or damage to its traction battery, and to charging equipment you own at the garaging address and portable charging cables, up to the amount shown in the Schedule; and </w:t>
      </w:r>
      <w:hyperlink w:anchor="c_mot_cover_third_party_property_damage">
        <w:r>
          <w:rPr>
            <w:color w:val="2E5C4E"/>
            <w:u w:val="single"/>
          </w:rPr>
          <w:t xml:space="preserve">the Third Party Property Damage clause</w:t>
        </w:r>
      </w:hyperlink>
      <w:r>
        <w:rPr>
          <w:b w:val="0"/>
          <w:i w:val="0"/>
        </w:rPr>
        <w:t xml:space="preserve"> extends to liability arising from charging the vehicle. We do not pay for loss of battery capacity through age or use.</w:t>
      </w:r>
    </w:p>
    <w:p>
      <w:r>
        <w:rPr>
          <w:b w:val="0"/>
          <w:i w:val="0"/>
        </w:rPr>
        <w:t>Schedule variables: charging equipment limit.</w:t>
      </w:r>
    </w:p>
    <w:p>
      <w:bookmarkStart w:id="109" w:name="c_mot_end_e15"/>
      <w:r>
        <w:rPr>
          <w:rFonts w:ascii="Georgia" w:hAnsi="Georgia" w:eastAsia="Georgia"/>
          <w:b/>
          <w:i w:val="0"/>
          <w:color w:val="2E5C4E"/>
          <w:sz w:val="25"/>
        </w:rPr>
        <w:t>E15 Automated Driving Systems</w:t>
      </w:r>
      <w:bookmarkEnd w:id="109"/>
    </w:p>
    <w:p>
      <w:r>
        <w:rPr>
          <w:b w:val="0"/>
          <w:i w:val="0"/>
        </w:rPr>
        <w:t>For each Insured vehicle shown in the Schedule as equipped with an automated driving system, cover under this Policy applies while the system is engaged as though the person responsible for the vehicle were driving it, provided the system is used as its manufacturer instructs and its software updates have been installed when issued. [WP REVIEW: align with the Automated Vehicle Safety Law once enacted.]</w:t>
      </w:r>
    </w:p>
    <w:p>
      <w:r>
        <w:rPr>
          <w:b w:val="0"/>
          <w:i w:val="0"/>
        </w:rPr>
        <w:t>Schedule variables: vehicles covered.</w:t>
      </w:r>
    </w:p>
    <w:p>
      <w:bookmarkStart w:id="110" w:name="c_mot_end_e16"/>
      <w:r>
        <w:rPr>
          <w:rFonts w:ascii="Georgia" w:hAnsi="Georgia" w:eastAsia="Georgia"/>
          <w:b/>
          <w:i w:val="0"/>
          <w:color w:val="2E5C4E"/>
          <w:sz w:val="25"/>
        </w:rPr>
        <w:t>E16 Tow Trucks and Recovery Vehicles</w:t>
      </w:r>
      <w:bookmarkEnd w:id="110"/>
    </w:p>
    <w:p>
      <w:r>
        <w:rPr>
          <w:b w:val="0"/>
          <w:i w:val="0"/>
        </w:rPr>
        <w:t xml:space="preserve">For Insured vehicles used as tow trucks or recovery vehicles, we pay for loss of or damage to a vehicle being towed, carried or recovered by them, for which you are legally liable, up to the amount shown in the Schedule for each Occurrence. For that property, the exclusion in </w:t>
      </w:r>
      <w:hyperlink w:anchor="c_mot_excl_liability">
        <w:r>
          <w:rPr>
            <w:color w:val="2E5C4E"/>
            <w:u w:val="single"/>
          </w:rPr>
          <w:t xml:space="preserve">the What Is Not Covered for Your Legal Liability exclusion</w:t>
        </w:r>
      </w:hyperlink>
      <w:r>
        <w:rPr>
          <w:b w:val="0"/>
          <w:i w:val="0"/>
        </w:rPr>
        <w:t xml:space="preserve"> for damage to property in the custody or control of an Insured person, and the exclusion for use of a vehicle as a Tool of trade (where the use is towing, winching, loading or carrying the property), do not apply. Every other exclusion in that clause continues to apply. The driver must hold any tow truck licence or authority the law requires.</w:t>
      </w:r>
    </w:p>
    <w:p>
      <w:r>
        <w:rPr>
          <w:b w:val="0"/>
          <w:i w:val="0"/>
        </w:rPr>
        <w:t>Schedule variables: goods in care limit; excess.</w:t>
      </w:r>
    </w:p>
    <w:p>
      <w:bookmarkStart w:id="111" w:name="c_mot_end_e17"/>
      <w:r>
        <w:rPr>
          <w:rFonts w:ascii="Georgia" w:hAnsi="Georgia" w:eastAsia="Georgia"/>
          <w:b/>
          <w:i w:val="0"/>
          <w:color w:val="2E5C4E"/>
          <w:sz w:val="25"/>
        </w:rPr>
        <w:t>E17 Courtesy Vehicle Fleets</w:t>
      </w:r>
      <w:bookmarkEnd w:id="111"/>
    </w:p>
    <w:p>
      <w:r>
        <w:rPr>
          <w:b w:val="0"/>
          <w:i w:val="0"/>
        </w:rPr>
        <w:t xml:space="preserve">Where lending vehicles is part of your business, </w:t>
      </w:r>
      <w:hyperlink w:anchor="c_mot_fleet_courtesy_vehicles">
        <w:r>
          <w:rPr>
            <w:color w:val="2E5C4E"/>
            <w:u w:val="single"/>
          </w:rPr>
          <w:t xml:space="preserve">the Courtesy and Loan Vehicles extension</w:t>
        </w:r>
      </w:hyperlink>
      <w:r>
        <w:rPr>
          <w:b w:val="0"/>
          <w:i w:val="0"/>
        </w:rPr>
        <w:t xml:space="preserve"> applies to the number of courtesy vehicles shown in the Schedule, and a customer driving one with your permission is an Insured person. You must check and copy each customer's licence before lending a vehicle.</w:t>
      </w:r>
    </w:p>
    <w:p>
      <w:r>
        <w:rPr>
          <w:b w:val="0"/>
          <w:i w:val="0"/>
        </w:rPr>
        <w:t>Schedule variables: maximum number of courtesy vehicles; additional excess.</w:t>
      </w:r>
    </w:p>
    <w:p>
      <w:bookmarkStart w:id="112" w:name="c_mot_end_e18"/>
      <w:r>
        <w:rPr>
          <w:rFonts w:ascii="Georgia" w:hAnsi="Georgia" w:eastAsia="Georgia"/>
          <w:b/>
          <w:i w:val="0"/>
          <w:color w:val="2E5C4E"/>
          <w:sz w:val="25"/>
        </w:rPr>
        <w:t>E18 Sole Operator</w:t>
      </w:r>
      <w:bookmarkEnd w:id="112"/>
    </w:p>
    <w:p>
      <w:r>
        <w:rPr>
          <w:b w:val="0"/>
          <w:i w:val="0"/>
        </w:rPr>
        <w:t xml:space="preserve">Where one vehicle is insured and the Named insured is a sole trader or a company with one working director, the driver basis is the Named insured or that director and any driver shown in the Schedule, the declarations in </w:t>
      </w:r>
      <w:hyperlink w:anchor="c_mot_fleet_declarations">
        <w:r>
          <w:rPr>
            <w:color w:val="2E5C4E"/>
            <w:u w:val="single"/>
          </w:rPr>
          <w:t xml:space="preserve">the Declarations and Premium Adjustment condition</w:t>
        </w:r>
      </w:hyperlink>
      <w:r>
        <w:rPr>
          <w:b w:val="0"/>
          <w:i w:val="0"/>
        </w:rPr>
        <w:t xml:space="preserve"> do not apply, and the premium is fixed for the Period of Insurance.</w:t>
      </w:r>
    </w:p>
    <w:p>
      <w:r>
        <w:rPr>
          <w:b w:val="0"/>
          <w:i w:val="0"/>
        </w:rPr>
        <w:t>Schedule variables: drivers.</w:t>
      </w:r>
    </w:p>
    <w:p>
      <w:bookmarkStart w:id="113" w:name="c_mot_appendix_default_schedule_values"/>
      <w:r>
        <w:rPr>
          <w:rFonts w:ascii="Georgia" w:hAnsi="Georgia" w:eastAsia="Georgia"/>
          <w:b/>
          <w:i w:val="0"/>
          <w:color w:val="1C1915"/>
          <w:sz w:val="32"/>
        </w:rPr>
        <w:t>Default Schedule Values</w:t>
      </w:r>
      <w:bookmarkEnd w:id="113"/>
    </w:p>
    <w:p>
      <w:r>
        <w:rPr>
          <w:b w:val="0"/>
          <w:i w:val="0"/>
        </w:rPr>
        <w:t>These are the defaults that apply where the Schedule does not show another amount. Each figure is a Schedule value: an issuer may vary it in the Schedule without amending this wording. Where this Policy is a prescribed contract for motor vehicle insurance, the issuer must first check the change against the list of departures from standard cover that it gives the insured.</w:t>
      </w:r>
    </w:p>
    <w:tbl>
      <w:tblPr>
        <w:tblStyle w:val="TableGrid"/>
        <w:tblW w:type="auto" w:w="0"/>
        <w:tblLook w:firstColumn="1" w:firstRow="1" w:lastColumn="0" w:lastRow="0" w:noHBand="0" w:noVBand="1" w:val="04A0"/>
      </w:tblPr>
      <w:tblGrid>
        <w:gridCol w:w="3249"/>
        <w:gridCol w:w="3249"/>
        <w:gridCol w:w="3249"/>
      </w:tblGrid>
      <w:tr>
        <w:tc>
          <w:tcPr>
            <w:tcW w:type="dxa" w:w="3249"/>
          </w:tcPr>
          <w:p>
            <w:r/>
            <w:r>
              <w:rPr>
                <w:b w:val="0"/>
                <w:i w:val="0"/>
              </w:rPr>
              <w:t>Clause</w:t>
            </w:r>
          </w:p>
        </w:tc>
        <w:tc>
          <w:tcPr>
            <w:tcW w:type="dxa" w:w="3249"/>
          </w:tcPr>
          <w:p>
            <w:r/>
            <w:r>
              <w:rPr>
                <w:b w:val="0"/>
                <w:i w:val="0"/>
              </w:rPr>
              <w:t>Item</w:t>
            </w:r>
          </w:p>
        </w:tc>
        <w:tc>
          <w:tcPr>
            <w:tcW w:type="dxa" w:w="3249"/>
          </w:tcPr>
          <w:p>
            <w:r/>
            <w:r>
              <w:rPr>
                <w:b w:val="0"/>
                <w:i w:val="0"/>
              </w:rPr>
              <w:t>Default</w:t>
            </w:r>
          </w:p>
        </w:tc>
      </w:tr>
      <w:tr>
        <w:tc>
          <w:tcPr>
            <w:tcW w:type="dxa" w:w="3249"/>
          </w:tcPr>
          <w:p>
            <w:r/>
            <w:hyperlink w:anchor="c_mot_cover_third_party_property_damage">
              <w:r>
                <w:rPr>
                  <w:color w:val="2E5C4E"/>
                  <w:u w:val="single"/>
                </w:rPr>
                <w:t xml:space="preserve">The Third Party Property Damage clause</w:t>
              </w:r>
            </w:hyperlink>
          </w:p>
        </w:tc>
        <w:tc>
          <w:tcPr>
            <w:tcW w:type="dxa" w:w="3249"/>
          </w:tcPr>
          <w:p>
            <w:r/>
            <w:r>
              <w:rPr>
                <w:b w:val="0"/>
                <w:i w:val="0"/>
              </w:rPr>
              <w:t>Third party property damage limit each Occurrence</w:t>
            </w:r>
          </w:p>
        </w:tc>
        <w:tc>
          <w:tcPr>
            <w:tcW w:type="dxa" w:w="3249"/>
          </w:tcPr>
          <w:p>
            <w:r/>
            <w:r>
              <w:rPr>
                <w:b w:val="0"/>
                <w:i w:val="0"/>
              </w:rPr>
              <w:t>$30,000,000</w:t>
            </w:r>
          </w:p>
        </w:tc>
      </w:tr>
      <w:tr>
        <w:tc>
          <w:tcPr>
            <w:tcW w:type="dxa" w:w="3249"/>
          </w:tcPr>
          <w:p>
            <w:r/>
            <w:hyperlink w:anchor="c_mot_ext_supplementary_bodily_injury">
              <w:r>
                <w:rPr>
                  <w:color w:val="2E5C4E"/>
                  <w:u w:val="single"/>
                </w:rPr>
                <w:t xml:space="preserve">The Supplementary Bodily Injury extension</w:t>
              </w:r>
            </w:hyperlink>
          </w:p>
        </w:tc>
        <w:tc>
          <w:tcPr>
            <w:tcW w:type="dxa" w:w="3249"/>
          </w:tcPr>
          <w:p>
            <w:r/>
            <w:r>
              <w:rPr>
                <w:b w:val="0"/>
                <w:i w:val="0"/>
              </w:rPr>
              <w:t>Supplementary bodily injury sub-limit each Occurrence</w:t>
            </w:r>
          </w:p>
        </w:tc>
        <w:tc>
          <w:tcPr>
            <w:tcW w:type="dxa" w:w="3249"/>
          </w:tcPr>
          <w:p>
            <w:r/>
            <w:r>
              <w:rPr>
                <w:b w:val="0"/>
                <w:i w:val="0"/>
              </w:rPr>
              <w:t>$5,000,000</w:t>
            </w:r>
          </w:p>
        </w:tc>
      </w:tr>
      <w:tr>
        <w:tc>
          <w:tcPr>
            <w:tcW w:type="dxa" w:w="3249"/>
          </w:tcPr>
          <w:p>
            <w:r/>
            <w:hyperlink w:anchor="c_mot_ext_dangerous_goods">
              <w:r>
                <w:rPr>
                  <w:color w:val="2E5C4E"/>
                  <w:u w:val="single"/>
                </w:rPr>
                <w:t xml:space="preserve">The Dangerous Goods Liability extension</w:t>
              </w:r>
            </w:hyperlink>
          </w:p>
        </w:tc>
        <w:tc>
          <w:tcPr>
            <w:tcW w:type="dxa" w:w="3249"/>
          </w:tcPr>
          <w:p>
            <w:r/>
            <w:r>
              <w:rPr>
                <w:b w:val="0"/>
                <w:i w:val="0"/>
              </w:rPr>
              <w:t>Dangerous goods sub-limit each Occurrence</w:t>
            </w:r>
          </w:p>
        </w:tc>
        <w:tc>
          <w:tcPr>
            <w:tcW w:type="dxa" w:w="3249"/>
          </w:tcPr>
          <w:p>
            <w:r/>
            <w:r>
              <w:rPr>
                <w:b w:val="0"/>
                <w:i w:val="0"/>
              </w:rPr>
              <w:t>$1,000,000</w:t>
            </w:r>
          </w:p>
        </w:tc>
      </w:tr>
      <w:tr>
        <w:tc>
          <w:tcPr>
            <w:tcW w:type="dxa" w:w="3249"/>
          </w:tcPr>
          <w:p>
            <w:r/>
            <w:hyperlink w:anchor="c_mot_ext_uninsured_motorist">
              <w:r>
                <w:rPr>
                  <w:color w:val="2E5C4E"/>
                  <w:u w:val="single"/>
                </w:rPr>
                <w:t xml:space="preserve">The Uninsured Motorist Damage extension</w:t>
              </w:r>
            </w:hyperlink>
          </w:p>
        </w:tc>
        <w:tc>
          <w:tcPr>
            <w:tcW w:type="dxa" w:w="3249"/>
          </w:tcPr>
          <w:p>
            <w:r/>
            <w:r>
              <w:rPr>
                <w:b w:val="0"/>
                <w:i w:val="0"/>
              </w:rPr>
              <w:t>Uninsured motorist damage</w:t>
            </w:r>
          </w:p>
        </w:tc>
        <w:tc>
          <w:tcPr>
            <w:tcW w:type="dxa" w:w="3249"/>
          </w:tcPr>
          <w:p>
            <w:r/>
            <w:r>
              <w:rPr>
                <w:b w:val="0"/>
                <w:i w:val="0"/>
              </w:rPr>
              <w:t>$5,000</w:t>
            </w:r>
          </w:p>
        </w:tc>
      </w:tr>
      <w:tr>
        <w:tc>
          <w:tcPr>
            <w:tcW w:type="dxa" w:w="3249"/>
          </w:tcPr>
          <w:p>
            <w:r/>
            <w:hyperlink w:anchor="c_mot_def_total_loss">
              <w:r>
                <w:rPr>
                  <w:color w:val="2E5C4E"/>
                  <w:u w:val="single"/>
                </w:rPr>
                <w:t xml:space="preserve">The definition of Total Loss</w:t>
              </w:r>
            </w:hyperlink>
          </w:p>
        </w:tc>
        <w:tc>
          <w:tcPr>
            <w:tcW w:type="dxa" w:w="3249"/>
          </w:tcPr>
          <w:p>
            <w:r/>
            <w:r>
              <w:rPr>
                <w:b w:val="0"/>
                <w:i w:val="0"/>
              </w:rPr>
              <w:t>Period before a stolen vehicle is a Total loss</w:t>
            </w:r>
          </w:p>
        </w:tc>
        <w:tc>
          <w:tcPr>
            <w:tcW w:type="dxa" w:w="3249"/>
          </w:tcPr>
          <w:p>
            <w:r/>
            <w:r>
              <w:rPr>
                <w:b w:val="0"/>
                <w:i w:val="0"/>
              </w:rPr>
              <w:t>30 days</w:t>
            </w:r>
          </w:p>
        </w:tc>
      </w:tr>
      <w:tr>
        <w:tc>
          <w:tcPr>
            <w:tcW w:type="dxa" w:w="3249"/>
          </w:tcPr>
          <w:p>
            <w:r/>
            <w:hyperlink w:anchor="c_mot_pay_new_vehicle_replacement">
              <w:r>
                <w:rPr>
                  <w:color w:val="2E5C4E"/>
                  <w:u w:val="single"/>
                </w:rPr>
                <w:t xml:space="preserve">The New Vehicle Replacement provision</w:t>
              </w:r>
            </w:hyperlink>
          </w:p>
        </w:tc>
        <w:tc>
          <w:tcPr>
            <w:tcW w:type="dxa" w:w="3249"/>
          </w:tcPr>
          <w:p>
            <w:r/>
            <w:r>
              <w:rPr>
                <w:b w:val="0"/>
                <w:i w:val="0"/>
              </w:rPr>
              <w:t>Period from first registration; gross vehicle mass limit; most we pay</w:t>
            </w:r>
          </w:p>
        </w:tc>
        <w:tc>
          <w:tcPr>
            <w:tcW w:type="dxa" w:w="3249"/>
          </w:tcPr>
          <w:p>
            <w:r/>
            <w:r>
              <w:rPr>
                <w:b w:val="0"/>
                <w:i w:val="0"/>
              </w:rPr>
              <w:t>24 months; 4.5 tonnes; 120% of the Sum insured</w:t>
            </w:r>
          </w:p>
        </w:tc>
      </w:tr>
      <w:tr>
        <w:tc>
          <w:tcPr>
            <w:tcW w:type="dxa" w:w="3249"/>
          </w:tcPr>
          <w:p>
            <w:r/>
            <w:hyperlink w:anchor="c_mot_ext_additional_benefits">
              <w:r>
                <w:rPr>
                  <w:color w:val="2E5C4E"/>
                  <w:u w:val="single"/>
                </w:rPr>
                <w:t xml:space="preserve">The Additional Benefits extension</w:t>
              </w:r>
            </w:hyperlink>
          </w:p>
        </w:tc>
        <w:tc>
          <w:tcPr>
            <w:tcW w:type="dxa" w:w="3249"/>
          </w:tcPr>
          <w:p>
            <w:r/>
            <w:r>
              <w:rPr>
                <w:b w:val="0"/>
                <w:i w:val="0"/>
              </w:rPr>
              <w:t>Hire vehicle after theft or Total loss</w:t>
            </w:r>
          </w:p>
        </w:tc>
        <w:tc>
          <w:tcPr>
            <w:tcW w:type="dxa" w:w="3249"/>
          </w:tcPr>
          <w:p>
            <w:r/>
            <w:r>
              <w:rPr>
                <w:b w:val="0"/>
                <w:i w:val="0"/>
              </w:rPr>
              <w:t>$150 a day for up to 30 days</w:t>
            </w:r>
          </w:p>
        </w:tc>
      </w:tr>
      <w:tr>
        <w:tc>
          <w:tcPr>
            <w:tcW w:type="dxa" w:w="3249"/>
          </w:tcPr>
          <w:p>
            <w:r/>
            <w:hyperlink w:anchor="c_mot_ext_additional_benefits">
              <w:r>
                <w:rPr>
                  <w:color w:val="2E5C4E"/>
                  <w:u w:val="single"/>
                </w:rPr>
                <w:t xml:space="preserve">The Additional Benefits extension</w:t>
              </w:r>
            </w:hyperlink>
          </w:p>
        </w:tc>
        <w:tc>
          <w:tcPr>
            <w:tcW w:type="dxa" w:w="3249"/>
          </w:tcPr>
          <w:p>
            <w:r/>
            <w:r>
              <w:rPr>
                <w:b w:val="0"/>
                <w:i w:val="0"/>
              </w:rPr>
              <w:t>Hire vehicle after accident</w:t>
            </w:r>
          </w:p>
        </w:tc>
        <w:tc>
          <w:tcPr>
            <w:tcW w:type="dxa" w:w="3249"/>
          </w:tcPr>
          <w:p>
            <w:r/>
            <w:r>
              <w:rPr>
                <w:b w:val="0"/>
                <w:i w:val="0"/>
              </w:rPr>
              <w:t>$150 a day for up to 14 days</w:t>
            </w:r>
          </w:p>
        </w:tc>
      </w:tr>
      <w:tr>
        <w:tc>
          <w:tcPr>
            <w:tcW w:type="dxa" w:w="3249"/>
          </w:tcPr>
          <w:p>
            <w:r/>
            <w:hyperlink w:anchor="c_mot_ext_additional_benefits">
              <w:r>
                <w:rPr>
                  <w:color w:val="2E5C4E"/>
                  <w:u w:val="single"/>
                </w:rPr>
                <w:t xml:space="preserve">The Additional Benefits extension</w:t>
              </w:r>
            </w:hyperlink>
          </w:p>
        </w:tc>
        <w:tc>
          <w:tcPr>
            <w:tcW w:type="dxa" w:w="3249"/>
          </w:tcPr>
          <w:p>
            <w:r/>
            <w:r>
              <w:rPr>
                <w:b w:val="0"/>
                <w:i w:val="0"/>
              </w:rPr>
              <w:t>Towing and recovery</w:t>
            </w:r>
          </w:p>
        </w:tc>
        <w:tc>
          <w:tcPr>
            <w:tcW w:type="dxa" w:w="3249"/>
          </w:tcPr>
          <w:p>
            <w:r/>
            <w:r>
              <w:rPr>
                <w:b w:val="0"/>
                <w:i w:val="0"/>
              </w:rPr>
              <w:t>$5,000 each Occurrence</w:t>
            </w:r>
          </w:p>
        </w:tc>
      </w:tr>
      <w:tr>
        <w:tc>
          <w:tcPr>
            <w:tcW w:type="dxa" w:w="3249"/>
          </w:tcPr>
          <w:p>
            <w:r/>
            <w:hyperlink w:anchor="c_mot_ext_additional_benefits">
              <w:r>
                <w:rPr>
                  <w:color w:val="2E5C4E"/>
                  <w:u w:val="single"/>
                </w:rPr>
                <w:t xml:space="preserve">The Additional Benefits extension</w:t>
              </w:r>
            </w:hyperlink>
          </w:p>
        </w:tc>
        <w:tc>
          <w:tcPr>
            <w:tcW w:type="dxa" w:w="3249"/>
          </w:tcPr>
          <w:p>
            <w:r/>
            <w:r>
              <w:rPr>
                <w:b w:val="0"/>
                <w:i w:val="0"/>
              </w:rPr>
              <w:t>Emergency repairs</w:t>
            </w:r>
          </w:p>
        </w:tc>
        <w:tc>
          <w:tcPr>
            <w:tcW w:type="dxa" w:w="3249"/>
          </w:tcPr>
          <w:p>
            <w:r/>
            <w:r>
              <w:rPr>
                <w:b w:val="0"/>
                <w:i w:val="0"/>
              </w:rPr>
              <w:t>$1,500 each Occurrence</w:t>
            </w:r>
          </w:p>
        </w:tc>
      </w:tr>
      <w:tr>
        <w:tc>
          <w:tcPr>
            <w:tcW w:type="dxa" w:w="3249"/>
          </w:tcPr>
          <w:p>
            <w:r/>
            <w:hyperlink w:anchor="c_mot_ext_additional_benefits">
              <w:r>
                <w:rPr>
                  <w:color w:val="2E5C4E"/>
                  <w:u w:val="single"/>
                </w:rPr>
                <w:t xml:space="preserve">The Additional Benefits extension</w:t>
              </w:r>
            </w:hyperlink>
          </w:p>
        </w:tc>
        <w:tc>
          <w:tcPr>
            <w:tcW w:type="dxa" w:w="3249"/>
          </w:tcPr>
          <w:p>
            <w:r/>
            <w:r>
              <w:rPr>
                <w:b w:val="0"/>
                <w:i w:val="0"/>
              </w:rPr>
              <w:t>Windscreen and window glass</w:t>
            </w:r>
          </w:p>
        </w:tc>
        <w:tc>
          <w:tcPr>
            <w:tcW w:type="dxa" w:w="3249"/>
          </w:tcPr>
          <w:p>
            <w:r/>
            <w:r>
              <w:rPr>
                <w:b w:val="0"/>
                <w:i w:val="0"/>
              </w:rPr>
              <w:t>$3,000 each Occurrence</w:t>
            </w:r>
          </w:p>
        </w:tc>
      </w:tr>
      <w:tr>
        <w:tc>
          <w:tcPr>
            <w:tcW w:type="dxa" w:w="3249"/>
          </w:tcPr>
          <w:p>
            <w:r/>
            <w:hyperlink w:anchor="c_mot_ext_additional_benefits">
              <w:r>
                <w:rPr>
                  <w:color w:val="2E5C4E"/>
                  <w:u w:val="single"/>
                </w:rPr>
                <w:t xml:space="preserve">The Additional Benefits extension</w:t>
              </w:r>
            </w:hyperlink>
          </w:p>
        </w:tc>
        <w:tc>
          <w:tcPr>
            <w:tcW w:type="dxa" w:w="3249"/>
          </w:tcPr>
          <w:p>
            <w:r/>
            <w:r>
              <w:rPr>
                <w:b w:val="0"/>
                <w:i w:val="0"/>
              </w:rPr>
              <w:t>Personal effects</w:t>
            </w:r>
          </w:p>
        </w:tc>
        <w:tc>
          <w:tcPr>
            <w:tcW w:type="dxa" w:w="3249"/>
          </w:tcPr>
          <w:p>
            <w:r/>
            <w:r>
              <w:rPr>
                <w:b w:val="0"/>
                <w:i w:val="0"/>
              </w:rPr>
              <w:t>$2,000 each vehicle</w:t>
            </w:r>
          </w:p>
        </w:tc>
      </w:tr>
      <w:tr>
        <w:tc>
          <w:tcPr>
            <w:tcW w:type="dxa" w:w="3249"/>
          </w:tcPr>
          <w:p>
            <w:r/>
            <w:hyperlink w:anchor="c_mot_ext_additional_benefits">
              <w:r>
                <w:rPr>
                  <w:color w:val="2E5C4E"/>
                  <w:u w:val="single"/>
                </w:rPr>
                <w:t xml:space="preserve">The Additional Benefits extension</w:t>
              </w:r>
            </w:hyperlink>
          </w:p>
        </w:tc>
        <w:tc>
          <w:tcPr>
            <w:tcW w:type="dxa" w:w="3249"/>
          </w:tcPr>
          <w:p>
            <w:r/>
            <w:r>
              <w:rPr>
                <w:b w:val="0"/>
                <w:i w:val="0"/>
              </w:rPr>
              <w:t>Tools of trade</w:t>
            </w:r>
          </w:p>
        </w:tc>
        <w:tc>
          <w:tcPr>
            <w:tcW w:type="dxa" w:w="3249"/>
          </w:tcPr>
          <w:p>
            <w:r/>
            <w:r>
              <w:rPr>
                <w:b w:val="0"/>
                <w:i w:val="0"/>
              </w:rPr>
              <w:t>$5,000 each vehicle</w:t>
            </w:r>
          </w:p>
        </w:tc>
      </w:tr>
      <w:tr>
        <w:tc>
          <w:tcPr>
            <w:tcW w:type="dxa" w:w="3249"/>
          </w:tcPr>
          <w:p>
            <w:r/>
            <w:hyperlink w:anchor="c_mot_ext_additional_benefits">
              <w:r>
                <w:rPr>
                  <w:color w:val="2E5C4E"/>
                  <w:u w:val="single"/>
                </w:rPr>
                <w:t xml:space="preserve">The Additional Benefits extension</w:t>
              </w:r>
            </w:hyperlink>
          </w:p>
        </w:tc>
        <w:tc>
          <w:tcPr>
            <w:tcW w:type="dxa" w:w="3249"/>
          </w:tcPr>
          <w:p>
            <w:r/>
            <w:r>
              <w:rPr>
                <w:b w:val="0"/>
                <w:i w:val="0"/>
              </w:rPr>
              <w:t>Locks and keys</w:t>
            </w:r>
          </w:p>
        </w:tc>
        <w:tc>
          <w:tcPr>
            <w:tcW w:type="dxa" w:w="3249"/>
          </w:tcPr>
          <w:p>
            <w:r/>
            <w:r>
              <w:rPr>
                <w:b w:val="0"/>
                <w:i w:val="0"/>
              </w:rPr>
              <w:t>$3,000 each vehicle</w:t>
            </w:r>
          </w:p>
        </w:tc>
      </w:tr>
      <w:tr>
        <w:tc>
          <w:tcPr>
            <w:tcW w:type="dxa" w:w="3249"/>
          </w:tcPr>
          <w:p>
            <w:r/>
            <w:hyperlink w:anchor="c_mot_ext_additional_benefits">
              <w:r>
                <w:rPr>
                  <w:color w:val="2E5C4E"/>
                  <w:u w:val="single"/>
                </w:rPr>
                <w:t xml:space="preserve">The Additional Benefits extension</w:t>
              </w:r>
            </w:hyperlink>
          </w:p>
        </w:tc>
        <w:tc>
          <w:tcPr>
            <w:tcW w:type="dxa" w:w="3249"/>
          </w:tcPr>
          <w:p>
            <w:r/>
            <w:r>
              <w:rPr>
                <w:b w:val="0"/>
                <w:i w:val="0"/>
              </w:rPr>
              <w:t>Child seats and restraints</w:t>
            </w:r>
          </w:p>
        </w:tc>
        <w:tc>
          <w:tcPr>
            <w:tcW w:type="dxa" w:w="3249"/>
          </w:tcPr>
          <w:p>
            <w:r/>
            <w:r>
              <w:rPr>
                <w:b w:val="0"/>
                <w:i w:val="0"/>
              </w:rPr>
              <w:t>$750 each seat</w:t>
            </w:r>
          </w:p>
        </w:tc>
      </w:tr>
      <w:tr>
        <w:tc>
          <w:tcPr>
            <w:tcW w:type="dxa" w:w="3249"/>
          </w:tcPr>
          <w:p>
            <w:r/>
            <w:hyperlink w:anchor="c_mot_ext_additional_benefits">
              <w:r>
                <w:rPr>
                  <w:color w:val="2E5C4E"/>
                  <w:u w:val="single"/>
                </w:rPr>
                <w:t xml:space="preserve">The Additional Benefits extension</w:t>
              </w:r>
            </w:hyperlink>
          </w:p>
        </w:tc>
        <w:tc>
          <w:tcPr>
            <w:tcW w:type="dxa" w:w="3249"/>
          </w:tcPr>
          <w:p>
            <w:r/>
            <w:r>
              <w:rPr>
                <w:b w:val="0"/>
                <w:i w:val="0"/>
              </w:rPr>
              <w:t>Trailer while attached</w:t>
            </w:r>
          </w:p>
        </w:tc>
        <w:tc>
          <w:tcPr>
            <w:tcW w:type="dxa" w:w="3249"/>
          </w:tcPr>
          <w:p>
            <w:r/>
            <w:r>
              <w:rPr>
                <w:b w:val="0"/>
                <w:i w:val="0"/>
              </w:rPr>
              <w:t>$20,000 each trailer</w:t>
            </w:r>
          </w:p>
        </w:tc>
      </w:tr>
      <w:tr>
        <w:tc>
          <w:tcPr>
            <w:tcW w:type="dxa" w:w="3249"/>
          </w:tcPr>
          <w:p>
            <w:r/>
            <w:hyperlink w:anchor="c_mot_ext_additional_benefits">
              <w:r>
                <w:rPr>
                  <w:color w:val="2E5C4E"/>
                  <w:u w:val="single"/>
                </w:rPr>
                <w:t xml:space="preserve">The Additional Benefits extension</w:t>
              </w:r>
            </w:hyperlink>
          </w:p>
        </w:tc>
        <w:tc>
          <w:tcPr>
            <w:tcW w:type="dxa" w:w="3249"/>
          </w:tcPr>
          <w:p>
            <w:r/>
            <w:r>
              <w:rPr>
                <w:b w:val="0"/>
                <w:i w:val="0"/>
              </w:rPr>
              <w:t>Emergency travel and accommodation</w:t>
            </w:r>
          </w:p>
        </w:tc>
        <w:tc>
          <w:tcPr>
            <w:tcW w:type="dxa" w:w="3249"/>
          </w:tcPr>
          <w:p>
            <w:r/>
            <w:r>
              <w:rPr>
                <w:b w:val="0"/>
                <w:i w:val="0"/>
              </w:rPr>
              <w:t>$1,000 each Occurrence; more than 100 km from the garaging address</w:t>
            </w:r>
          </w:p>
        </w:tc>
      </w:tr>
      <w:tr>
        <w:tc>
          <w:tcPr>
            <w:tcW w:type="dxa" w:w="3249"/>
          </w:tcPr>
          <w:p>
            <w:r/>
            <w:hyperlink w:anchor="c_mot_ext_additional_benefits">
              <w:r>
                <w:rPr>
                  <w:color w:val="2E5C4E"/>
                  <w:u w:val="single"/>
                </w:rPr>
                <w:t xml:space="preserve">The Additional Benefits extension</w:t>
              </w:r>
            </w:hyperlink>
          </w:p>
        </w:tc>
        <w:tc>
          <w:tcPr>
            <w:tcW w:type="dxa" w:w="3249"/>
          </w:tcPr>
          <w:p>
            <w:r/>
            <w:r>
              <w:rPr>
                <w:b w:val="0"/>
                <w:i w:val="0"/>
              </w:rPr>
              <w:t>Recovery after theft</w:t>
            </w:r>
          </w:p>
        </w:tc>
        <w:tc>
          <w:tcPr>
            <w:tcW w:type="dxa" w:w="3249"/>
          </w:tcPr>
          <w:p>
            <w:r/>
            <w:r>
              <w:rPr>
                <w:b w:val="0"/>
                <w:i w:val="0"/>
              </w:rPr>
              <w:t>$3,000 each Occurrence</w:t>
            </w:r>
          </w:p>
        </w:tc>
      </w:tr>
      <w:tr>
        <w:tc>
          <w:tcPr>
            <w:tcW w:type="dxa" w:w="3249"/>
          </w:tcPr>
          <w:p>
            <w:r/>
            <w:hyperlink w:anchor="c_mot_ext_additional_benefits">
              <w:r>
                <w:rPr>
                  <w:color w:val="2E5C4E"/>
                  <w:u w:val="single"/>
                </w:rPr>
                <w:t xml:space="preserve">The Additional Benefits extension</w:t>
              </w:r>
            </w:hyperlink>
          </w:p>
        </w:tc>
        <w:tc>
          <w:tcPr>
            <w:tcW w:type="dxa" w:w="3249"/>
          </w:tcPr>
          <w:p>
            <w:r/>
            <w:r>
              <w:rPr>
                <w:b w:val="0"/>
                <w:i w:val="0"/>
              </w:rPr>
              <w:t>Employees' effects</w:t>
            </w:r>
          </w:p>
        </w:tc>
        <w:tc>
          <w:tcPr>
            <w:tcW w:type="dxa" w:w="3249"/>
          </w:tcPr>
          <w:p>
            <w:r/>
            <w:r>
              <w:rPr>
                <w:b w:val="0"/>
                <w:i w:val="0"/>
              </w:rPr>
              <w:t>$1,000 each Occurrence</w:t>
            </w:r>
          </w:p>
        </w:tc>
      </w:tr>
      <w:tr>
        <w:tc>
          <w:tcPr>
            <w:tcW w:type="dxa" w:w="3249"/>
          </w:tcPr>
          <w:p>
            <w:r/>
            <w:hyperlink w:anchor="c_mot_ext_additional_benefits">
              <w:r>
                <w:rPr>
                  <w:color w:val="2E5C4E"/>
                  <w:u w:val="single"/>
                </w:rPr>
                <w:t xml:space="preserve">The Additional Benefits extension</w:t>
              </w:r>
            </w:hyperlink>
            <w:r>
              <w:rPr>
                <w:b w:val="0"/>
                <w:i w:val="0"/>
              </w:rPr>
              <w:t xml:space="preserve">, </w:t>
            </w:r>
            <w:hyperlink w:anchor="c_mot_obl_tell_us_about_changes">
              <w:r>
                <w:rPr>
                  <w:color w:val="2E5C4E"/>
                  <w:u w:val="single"/>
                </w:rPr>
                <w:t xml:space="preserve">the Tell Us About Changes obligation</w:t>
              </w:r>
            </w:hyperlink>
          </w:p>
        </w:tc>
        <w:tc>
          <w:tcPr>
            <w:tcW w:type="dxa" w:w="3249"/>
          </w:tcPr>
          <w:p>
            <w:r/>
            <w:r>
              <w:rPr>
                <w:b w:val="0"/>
                <w:i w:val="0"/>
              </w:rPr>
              <w:t>Modifications and accessories to declare</w:t>
            </w:r>
          </w:p>
        </w:tc>
        <w:tc>
          <w:tcPr>
            <w:tcW w:type="dxa" w:w="3249"/>
          </w:tcPr>
          <w:p>
            <w:r/>
            <w:r>
              <w:rPr>
                <w:b w:val="0"/>
                <w:i w:val="0"/>
              </w:rPr>
              <w:t>Worth more than $5,000 on a vehicle</w:t>
            </w:r>
          </w:p>
        </w:tc>
      </w:tr>
      <w:tr>
        <w:tc>
          <w:tcPr>
            <w:tcW w:type="dxa" w:w="3249"/>
          </w:tcPr>
          <w:p>
            <w:r/>
            <w:hyperlink w:anchor="c_mot_obl_tell_us_about_changes">
              <w:r>
                <w:rPr>
                  <w:color w:val="2E5C4E"/>
                  <w:u w:val="single"/>
                </w:rPr>
                <w:t xml:space="preserve">The Tell Us About Changes obligation</w:t>
              </w:r>
            </w:hyperlink>
          </w:p>
        </w:tc>
        <w:tc>
          <w:tcPr>
            <w:tcW w:type="dxa" w:w="3249"/>
          </w:tcPr>
          <w:p>
            <w:r/>
            <w:r>
              <w:rPr>
                <w:b w:val="0"/>
                <w:i w:val="0"/>
              </w:rPr>
              <w:t>Notice before a changed premium or changed terms apply</w:t>
            </w:r>
          </w:p>
        </w:tc>
        <w:tc>
          <w:tcPr>
            <w:tcW w:type="dxa" w:w="3249"/>
          </w:tcPr>
          <w:p>
            <w:r/>
            <w:r>
              <w:rPr>
                <w:b w:val="0"/>
                <w:i w:val="0"/>
              </w:rPr>
              <w:t>14 days</w:t>
            </w:r>
          </w:p>
        </w:tc>
      </w:tr>
      <w:tr>
        <w:tc>
          <w:tcPr>
            <w:tcW w:type="dxa" w:w="3249"/>
          </w:tcPr>
          <w:p>
            <w:r/>
            <w:hyperlink w:anchor="c_mot_cond_excess">
              <w:r>
                <w:rPr>
                  <w:color w:val="2E5C4E"/>
                  <w:u w:val="single"/>
                </w:rPr>
                <w:t xml:space="preserve">The Excesses condition</w:t>
              </w:r>
            </w:hyperlink>
          </w:p>
        </w:tc>
        <w:tc>
          <w:tcPr>
            <w:tcW w:type="dxa" w:w="3249"/>
          </w:tcPr>
          <w:p>
            <w:r/>
            <w:r>
              <w:rPr>
                <w:b w:val="0"/>
                <w:i w:val="0"/>
              </w:rPr>
              <w:t>Basic excess</w:t>
            </w:r>
          </w:p>
        </w:tc>
        <w:tc>
          <w:tcPr>
            <w:tcW w:type="dxa" w:w="3249"/>
          </w:tcPr>
          <w:p>
            <w:r/>
            <w:r>
              <w:rPr>
                <w:b w:val="0"/>
                <w:i w:val="0"/>
              </w:rPr>
              <w:t>$1,000 each vehicle</w:t>
            </w:r>
          </w:p>
        </w:tc>
      </w:tr>
      <w:tr>
        <w:tc>
          <w:tcPr>
            <w:tcW w:type="dxa" w:w="3249"/>
          </w:tcPr>
          <w:p>
            <w:r/>
            <w:hyperlink w:anchor="c_mot_cond_excess">
              <w:r>
                <w:rPr>
                  <w:color w:val="2E5C4E"/>
                  <w:u w:val="single"/>
                </w:rPr>
                <w:t xml:space="preserve">The Excesses condition</w:t>
              </w:r>
            </w:hyperlink>
          </w:p>
        </w:tc>
        <w:tc>
          <w:tcPr>
            <w:tcW w:type="dxa" w:w="3249"/>
          </w:tcPr>
          <w:p>
            <w:r/>
            <w:r>
              <w:rPr>
                <w:b w:val="0"/>
                <w:i w:val="0"/>
              </w:rPr>
              <w:t>Age excess; age</w:t>
            </w:r>
          </w:p>
        </w:tc>
        <w:tc>
          <w:tcPr>
            <w:tcW w:type="dxa" w:w="3249"/>
          </w:tcPr>
          <w:p>
            <w:r/>
            <w:r>
              <w:rPr>
                <w:b w:val="0"/>
                <w:i w:val="0"/>
              </w:rPr>
              <w:t>$750; driver under 25</w:t>
            </w:r>
          </w:p>
        </w:tc>
      </w:tr>
      <w:tr>
        <w:tc>
          <w:tcPr>
            <w:tcW w:type="dxa" w:w="3249"/>
          </w:tcPr>
          <w:p>
            <w:r/>
            <w:hyperlink w:anchor="c_mot_cond_excess">
              <w:r>
                <w:rPr>
                  <w:color w:val="2E5C4E"/>
                  <w:u w:val="single"/>
                </w:rPr>
                <w:t xml:space="preserve">The Excesses condition</w:t>
              </w:r>
            </w:hyperlink>
          </w:p>
        </w:tc>
        <w:tc>
          <w:tcPr>
            <w:tcW w:type="dxa" w:w="3249"/>
          </w:tcPr>
          <w:p>
            <w:r/>
            <w:r>
              <w:rPr>
                <w:b w:val="0"/>
                <w:i w:val="0"/>
              </w:rPr>
              <w:t>Inexperienced driver excess; period</w:t>
            </w:r>
          </w:p>
        </w:tc>
        <w:tc>
          <w:tcPr>
            <w:tcW w:type="dxa" w:w="3249"/>
          </w:tcPr>
          <w:p>
            <w:r/>
            <w:r>
              <w:rPr>
                <w:b w:val="0"/>
                <w:i w:val="0"/>
              </w:rPr>
              <w:t>$500; licence held for less than 2 years</w:t>
            </w:r>
          </w:p>
        </w:tc>
      </w:tr>
      <w:tr>
        <w:tc>
          <w:tcPr>
            <w:tcW w:type="dxa" w:w="3249"/>
          </w:tcPr>
          <w:p>
            <w:r/>
            <w:hyperlink w:anchor="c_mot_cond_excess">
              <w:r>
                <w:rPr>
                  <w:color w:val="2E5C4E"/>
                  <w:u w:val="single"/>
                </w:rPr>
                <w:t xml:space="preserve">The Excesses condition</w:t>
              </w:r>
            </w:hyperlink>
          </w:p>
        </w:tc>
        <w:tc>
          <w:tcPr>
            <w:tcW w:type="dxa" w:w="3249"/>
          </w:tcPr>
          <w:p>
            <w:r/>
            <w:r>
              <w:rPr>
                <w:b w:val="0"/>
                <w:i w:val="0"/>
              </w:rPr>
              <w:t>Unlisted driver excess</w:t>
            </w:r>
          </w:p>
        </w:tc>
        <w:tc>
          <w:tcPr>
            <w:tcW w:type="dxa" w:w="3249"/>
          </w:tcPr>
          <w:p>
            <w:r/>
            <w:r>
              <w:rPr>
                <w:b w:val="0"/>
                <w:i w:val="0"/>
              </w:rPr>
              <w:t>$1,000</w:t>
            </w:r>
          </w:p>
        </w:tc>
      </w:tr>
      <w:tr>
        <w:tc>
          <w:tcPr>
            <w:tcW w:type="dxa" w:w="3249"/>
          </w:tcPr>
          <w:p>
            <w:r/>
            <w:hyperlink w:anchor="c_mot_fleet_automatic_cover">
              <w:r>
                <w:rPr>
                  <w:color w:val="2E5C4E"/>
                  <w:u w:val="single"/>
                </w:rPr>
                <w:t xml:space="preserve">The Automatic Cover for New and Replacement Vehicles extension</w:t>
              </w:r>
            </w:hyperlink>
          </w:p>
        </w:tc>
        <w:tc>
          <w:tcPr>
            <w:tcW w:type="dxa" w:w="3249"/>
          </w:tcPr>
          <w:p>
            <w:r/>
            <w:r>
              <w:rPr>
                <w:b w:val="0"/>
                <w:i w:val="0"/>
              </w:rPr>
              <w:t>Value limit; notice period</w:t>
            </w:r>
          </w:p>
        </w:tc>
        <w:tc>
          <w:tcPr>
            <w:tcW w:type="dxa" w:w="3249"/>
          </w:tcPr>
          <w:p>
            <w:r/>
            <w:r>
              <w:rPr>
                <w:b w:val="0"/>
                <w:i w:val="0"/>
              </w:rPr>
              <w:t>$150,000 each vehicle; 30 days</w:t>
            </w:r>
          </w:p>
        </w:tc>
      </w:tr>
      <w:tr>
        <w:tc>
          <w:tcPr>
            <w:tcW w:type="dxa" w:w="3249"/>
          </w:tcPr>
          <w:p>
            <w:r/>
            <w:hyperlink w:anchor="c_mot_fleet_undeclared_vehicles">
              <w:r>
                <w:rPr>
                  <w:color w:val="2E5C4E"/>
                  <w:u w:val="single"/>
                </w:rPr>
                <w:t xml:space="preserve">The Undeclared Vehicles extension</w:t>
              </w:r>
            </w:hyperlink>
          </w:p>
        </w:tc>
        <w:tc>
          <w:tcPr>
            <w:tcW w:type="dxa" w:w="3249"/>
          </w:tcPr>
          <w:p>
            <w:r/>
            <w:r>
              <w:rPr>
                <w:b w:val="0"/>
                <w:i w:val="0"/>
              </w:rPr>
              <w:t>Grace period</w:t>
            </w:r>
          </w:p>
        </w:tc>
        <w:tc>
          <w:tcPr>
            <w:tcW w:type="dxa" w:w="3249"/>
          </w:tcPr>
          <w:p>
            <w:r/>
            <w:r>
              <w:rPr>
                <w:b w:val="0"/>
                <w:i w:val="0"/>
              </w:rPr>
              <w:t>30 days</w:t>
            </w:r>
          </w:p>
        </w:tc>
      </w:tr>
      <w:tr>
        <w:tc>
          <w:tcPr>
            <w:tcW w:type="dxa" w:w="3249"/>
          </w:tcPr>
          <w:p>
            <w:r/>
            <w:hyperlink w:anchor="c_mot_fleet_declarations">
              <w:r>
                <w:rPr>
                  <w:color w:val="2E5C4E"/>
                  <w:u w:val="single"/>
                </w:rPr>
                <w:t xml:space="preserve">The Declarations and Premium Adjustment condition</w:t>
              </w:r>
            </w:hyperlink>
          </w:p>
        </w:tc>
        <w:tc>
          <w:tcPr>
            <w:tcW w:type="dxa" w:w="3249"/>
          </w:tcPr>
          <w:p>
            <w:r/>
            <w:r>
              <w:rPr>
                <w:b w:val="0"/>
                <w:i w:val="0"/>
              </w:rPr>
              <w:t>Annual declaration adjustment</w:t>
            </w:r>
          </w:p>
        </w:tc>
        <w:tc>
          <w:tcPr>
            <w:tcW w:type="dxa" w:w="3249"/>
          </w:tcPr>
          <w:p>
            <w:r/>
            <w:r>
              <w:rPr>
                <w:b w:val="0"/>
                <w:i w:val="0"/>
              </w:rPr>
              <w:t>50% of the annual rate</w:t>
            </w:r>
          </w:p>
        </w:tc>
      </w:tr>
      <w:tr>
        <w:tc>
          <w:tcPr>
            <w:tcW w:type="dxa" w:w="3249"/>
          </w:tcPr>
          <w:p>
            <w:r/>
            <w:hyperlink w:anchor="c_mot_fleet_excess_discount">
              <w:r>
                <w:rPr>
                  <w:color w:val="2E5C4E"/>
                  <w:u w:val="single"/>
                </w:rPr>
                <w:t xml:space="preserve">The Fleet Excess Discount condition</w:t>
              </w:r>
            </w:hyperlink>
          </w:p>
        </w:tc>
        <w:tc>
          <w:tcPr>
            <w:tcW w:type="dxa" w:w="3249"/>
          </w:tcPr>
          <w:p>
            <w:r/>
            <w:r>
              <w:rPr>
                <w:b w:val="0"/>
                <w:i w:val="0"/>
              </w:rPr>
              <w:t>At-fault claims; excess reduction</w:t>
            </w:r>
          </w:p>
        </w:tc>
        <w:tc>
          <w:tcPr>
            <w:tcW w:type="dxa" w:w="3249"/>
          </w:tcPr>
          <w:p>
            <w:r/>
            <w:r>
              <w:rPr>
                <w:b w:val="0"/>
                <w:i w:val="0"/>
              </w:rPr>
              <w:t>No more than 3 in a Period of Insurance; 10%</w:t>
            </w:r>
          </w:p>
        </w:tc>
      </w:tr>
    </w:tbl>
    <w:p>
      <w:bookmarkStart w:id="114" w:name="c_mot_licence_notice"/>
      <w:r>
        <w:rPr>
          <w:rFonts w:ascii="Georgia" w:hAnsi="Georgia" w:eastAsia="Georgia"/>
          <w:b/>
          <w:i w:val="0"/>
          <w:color w:val="1C1915"/>
          <w:sz w:val="32"/>
        </w:rPr>
        <w:t>Licence and Trademark Notice</w:t>
      </w:r>
      <w:bookmarkEnd w:id="114"/>
    </w:p>
    <w:p>
      <w:r>
        <w:rPr>
          <w:b w:val="0"/>
          <w:i w:val="0"/>
        </w:rPr>
        <w:t>This wording's text is licensed under Creative Commons Attribution 4.0 International (CC BY 4.0). The licence applies to the wording text only. It does not extend to, and no licence is granted in, the "Meridian" name, the Cuttleflow Systems name, logo, bearing mark, or any other trademark, trade dress, or brand asset, all of which remain the property of their respective owners and may not be used without separate permission.</w:t>
      </w:r>
    </w:p>
    <w:p>
      <w:r>
        <w:rPr>
          <w:b w:val="0"/>
          <w:i w:val="0"/>
        </w:rPr>
        <w:t>An adopting agency's own schedule, endorsements, and other materials prepared for use with this wording are not required to be released under CC BY 4.0 merely because they are used together with this wording; CC BY 4.0 requires only that you attribute the wording text you use.</w:t>
      </w:r>
    </w:p>
    <w:p>
      <w:r>
        <w:rPr>
          <w:b w:val="0"/>
          <w:i w:val="0"/>
        </w:rPr>
        <w:t>This wording is provided for general use and adaptation. Adopting agencies and their advisers are responsible for obtaining their own legal, regulatory, and reinsurance advice before use, and use of this wording requires the approval of the relevant capacity provider, and a Product Disclosure Statement and target market determination where the law requires them. Any Wording Partner review and sign-off letter issued in respect of this wording runs to Cuttleflow Pty Ltd t/a Cuttleflow Systems only and does not constitute legal advice to any adopting agency or insured.</w:t>
      </w:r>
    </w:p>
    <w:p>
      <w:r>
        <w:rPr>
          <w:b w:val="0"/>
          <w:i w:val="0"/>
        </w:rPr>
        <w:t>Designed for the Australian market. Assumes application of the Insurance Contracts Act 1984 (Cth). Users are responsible for their own legal review, regulatory compliance, and reinsurance alignment.</w:t>
      </w:r>
    </w:p>
    <w:p>
      <w:r>
        <w:rPr>
          <w:rFonts w:ascii="Georgia" w:hAnsi="Georgia" w:eastAsia="Georgia"/>
          <w:b/>
          <w:i w:val="0"/>
          <w:sz w:val="32"/>
        </w:rPr>
        <w:t>Changes From the Previous Version</w:t>
      </w:r>
    </w:p>
    <w:p>
      <w:r>
        <w:t>Recorded in accordance with the Cuttleflow open wording library versioning requirements.</w:t>
      </w:r>
    </w:p>
    <w:p>
      <w:r>
        <w:rPr>
          <w:b w:val="0"/>
          <w:i w:val="0"/>
        </w:rPr>
        <w:t>Remediation following the Claude pre-review of 2 November 2026.</w:t>
      </w:r>
    </w:p>
    <w:p>
      <w:pPr>
        <w:pStyle w:val="ListBullet"/>
      </w:pPr>
      <w:r>
        <w:rPr>
          <w:b w:val="0"/>
          <w:i w:val="0"/>
        </w:rPr>
        <w:t>Insurance Contracts Act 1984 (Cth): replaced with a general condition that states the Act prevails and applies section 54 to every condition, exclusion, limit and obligation, not only to the claims conditions.</w:t>
      </w:r>
    </w:p>
    <w:p>
      <w:pPr>
        <w:pStyle w:val="ListBullet"/>
      </w:pPr>
      <w:r>
        <w:rPr>
          <w:b w:val="0"/>
          <w:i w:val="0"/>
        </w:rPr>
        <w:t>Sanctions: restated as a standalone condition naming the Autonomous Sanctions Act 2011 (Cth), the Charter of the United Nations Act 1945 (Cth), and the sanctions laws of the United Kingdom, the United States of America and the European Union, to the extent they apply to us. The reference to United Nations resolutions is removed.</w:t>
      </w:r>
    </w:p>
    <w:p>
      <w:pPr>
        <w:pStyle w:val="ListBullet"/>
      </w:pPr>
      <w:r>
        <w:rPr>
          <w:b w:val="0"/>
          <w:i w:val="0"/>
        </w:rPr>
        <w:t>Other Insurance: restated so that we do not refuse or reduce a payment because of other insurance, and may seek contribution. The Policy is excess of another policy only where the Schedule or an Endorsement names that policy.</w:t>
      </w:r>
    </w:p>
    <w:p>
      <w:pPr>
        <w:pStyle w:val="ListBullet"/>
      </w:pPr>
      <w:r>
        <w:rPr>
          <w:b w:val="0"/>
          <w:i w:val="0"/>
        </w:rPr>
        <w:t>Substitute Vehicle, Substitute Vehicles, and Employees' and Directors' Vehicles: the limits that depended on other insurance ("not otherwise insured", "does not respond or is not enough") are removed. Other Insurance now applies. A tag asks the Wording Partner to confirm this against section 45.</w:t>
      </w:r>
    </w:p>
    <w:p>
      <w:pPr>
        <w:pStyle w:val="ListBullet"/>
      </w:pPr>
      <w:r>
        <w:rPr>
          <w:b w:val="0"/>
          <w:i w:val="0"/>
        </w:rPr>
        <w:t>Alcohol and Drugs, Unlicensed or Disqualified Driver: both now use the same test. The exclusion does not apply to an Insured person who did not know, and could not reasonably have known, of the driver's state, or where the vehicle was driven without your consent. The note to version 3.0.0 described this test inaccurately; this release makes the text match it.</w:t>
      </w:r>
    </w:p>
    <w:p>
      <w:pPr>
        <w:pStyle w:val="ListBullet"/>
      </w:pPr>
      <w:r>
        <w:rPr>
          <w:b w:val="0"/>
          <w:i w:val="0"/>
        </w:rPr>
        <w:t>Control Group (new definition), You, Your, and Who Is Covered: where the Named insured is not an individual, what it knows, intends or consents to is what a member of the Control group knows, intends or consents to. Knowledge, intention and consent are tested for each Insured person separately and are not attributed from one Insured person to another.</w:t>
      </w:r>
    </w:p>
    <w:p>
      <w:pPr>
        <w:pStyle w:val="ListBullet"/>
      </w:pPr>
      <w:r>
        <w:rPr>
          <w:b w:val="0"/>
          <w:i w:val="0"/>
        </w:rPr>
        <w:t>Joint Insureds (new condition), Deliberate Acts, and Fraudulent Claims: where there is more than one Named insured, a fraud, deliberate act or failure to comply by one does not affect the cover of another who did not know of it, take part in it or consent to it.</w:t>
      </w:r>
    </w:p>
    <w:p>
      <w:pPr>
        <w:pStyle w:val="ListBullet"/>
      </w:pPr>
      <w:r>
        <w:rPr>
          <w:b w:val="0"/>
          <w:i w:val="0"/>
        </w:rPr>
        <w:t>Not at Fault (new definition), Excesses, Uninsured Motorist Damage and Additional Benefits: "we agree that the driver was not at fault" is replaced by a stated test, decided reasonably on the evidence available, with a right to ask for a review and to complain.</w:t>
      </w:r>
    </w:p>
    <w:p>
      <w:pPr>
        <w:pStyle w:val="ListBullet"/>
      </w:pPr>
      <w:r>
        <w:rPr>
          <w:b w:val="0"/>
          <w:i w:val="0"/>
        </w:rPr>
        <w:t>Uninsured Motorist Damage, About This Policy, and Third Party, Fire and Theft: the overview table and the cover now say that this extension pays for damage to the Insured vehicle at the lower cover levels. "Uninsured" is explained.</w:t>
      </w:r>
    </w:p>
    <w:p>
      <w:pPr>
        <w:pStyle w:val="ListBullet"/>
      </w:pPr>
      <w:r>
        <w:rPr>
          <w:b w:val="0"/>
          <w:i w:val="0"/>
        </w:rPr>
        <w:t>Supplementary Bodily Injury: the extension pays only the part of a liability that a compulsory third party or statutory scheme does not cover. Defence costs are stated and are part of the sub-limit. A tag asks the Wording Partner to confirm how each State and Territory scheme interacts with it.</w:t>
      </w:r>
    </w:p>
    <w:p>
      <w:pPr>
        <w:pStyle w:val="ListBullet"/>
      </w:pPr>
      <w:r>
        <w:rPr>
          <w:b w:val="0"/>
          <w:i w:val="0"/>
        </w:rPr>
        <w:t>Terrorism: the statement that motor vehicle insurance is not an eligible insurance contract under the Terrorism Insurance Act is deleted and replaced with a tag for the Wording Partner.</w:t>
      </w:r>
    </w:p>
    <w:p>
      <w:pPr>
        <w:pStyle w:val="ListBullet"/>
      </w:pPr>
      <w:r>
        <w:rPr>
          <w:b w:val="0"/>
          <w:i w:val="0"/>
        </w:rPr>
        <w:t>What Is Not Covered for Your Legal Liability: a pollution and contamination exclusion is added, with an exception for a sudden, identifiable and unintended event. Liability from Dangerous goods stays within the Dangerous goods sub-limit.</w:t>
      </w:r>
    </w:p>
    <w:p>
      <w:pPr>
        <w:pStyle w:val="ListBullet"/>
      </w:pPr>
      <w:r>
        <w:rPr>
          <w:b w:val="0"/>
          <w:i w:val="0"/>
        </w:rPr>
        <w:t>E02 Refrigerated Vehicles: now says which exclusions it displaces (breakdown, and loss of use and consequential loss) so that the spoilage cover works as its title promises.</w:t>
      </w:r>
    </w:p>
    <w:p>
      <w:pPr>
        <w:pStyle w:val="ListBullet"/>
      </w:pPr>
      <w:r>
        <w:rPr>
          <w:b w:val="0"/>
          <w:i w:val="0"/>
        </w:rPr>
        <w:t>E16 Tow Trucks and Recovery Vehicles: now names the two exclusions it displaces for the vehicle being towed, and says every other exclusion continues to apply.</w:t>
      </w:r>
    </w:p>
    <w:p>
      <w:pPr>
        <w:pStyle w:val="ListBullet"/>
      </w:pPr>
      <w:r>
        <w:rPr>
          <w:b w:val="0"/>
          <w:i w:val="0"/>
        </w:rPr>
        <w:t>Who This Policy Is For: restated with the library's wording on retail clients, a Product Disclosure Statement and a Target Market Determination. The statement that the Policy is "not a consumer insurance contract" is replaced by a statement of intended business purpose and a tag asking the Wording Partner whether a sole trader's policy is a consumer contract. The Duty of Disclosure clause says which duty applies if it is.</w:t>
      </w:r>
    </w:p>
    <w:p>
      <w:pPr>
        <w:pStyle w:val="ListBullet"/>
      </w:pPr>
      <w:r>
        <w:rPr>
          <w:b w:val="0"/>
          <w:i w:val="0"/>
        </w:rPr>
        <w:t>Cancellation: you may cancel at any time and we refund the unexpired premium pro rata, less non-refundable government charges, with no refund for a vehicle after we pay a Total loss. The deduction for amounts we have "paid or reserved for a claim" is removed. Our notice to cancel is at least 30 days.</w:t>
      </w:r>
    </w:p>
    <w:p>
      <w:pPr>
        <w:pStyle w:val="ListBullet"/>
      </w:pPr>
      <w:r>
        <w:rPr>
          <w:b w:val="0"/>
          <w:i w:val="0"/>
        </w:rPr>
        <w:t>Premium: before we refuse a claim or cancel for an unpaid instalment, we give you written notice that the instalment is overdue.</w:t>
      </w:r>
    </w:p>
    <w:p>
      <w:pPr>
        <w:pStyle w:val="ListBullet"/>
      </w:pPr>
      <w:r>
        <w:rPr>
          <w:b w:val="0"/>
          <w:i w:val="0"/>
        </w:rPr>
        <w:t>Tell Us About Changes and Default Schedule Values: a changed premium or changed terms apply only after written notice, from the date stated in it, and not earlier than the notice period (default 14 days) after we send it. You may cancel if you do not accept them. A tag asks the Wording Partner to confirm the mechanism. Default Schedule Values also records that an issuer must check a change to a default against the departures it gives a person who holds a prescribed contract.</w:t>
      </w:r>
    </w:p>
    <w:p>
      <w:pPr>
        <w:pStyle w:val="ListBullet"/>
      </w:pPr>
      <w:r>
        <w:rPr>
          <w:b w:val="0"/>
          <w:i w:val="0"/>
        </w:rPr>
        <w:t>Additional Benefits: the trailer benefit no longer depends on the trailer not being insured separately. Other Insurance applies.</w:t>
      </w:r>
    </w:p>
    <w:p>
      <w:r>
        <w:rPr>
          <w:b w:val="0"/>
          <w:i/>
          <w:sz w:val="18"/>
        </w:rPr>
        <w:t>Cuttleflow Systems — Open Source Insurance Wording</w:t>
      </w:r>
    </w:p>
    <w:p>
      <w:r>
        <w:rPr>
          <w:rFonts w:ascii="Consolas" w:hAnsi="Consolas" w:eastAsia="Consolas"/>
          <w:b w:val="0"/>
          <w:i w:val="0"/>
          <w:sz w:val="16"/>
        </w:rPr>
        <w:t>2026/CMV/0001 · v3.1.0-DRAFT · November 2026 · © 2026 Cuttleflow Pty Ltd trading as Cuttleflow Systems</w:t>
      </w:r>
    </w:p>
    <w:p>
      <w:r>
        <w:rPr>
          <w:b w:val="0"/>
          <w:i/>
          <w:sz w:val="18"/>
        </w:rPr>
        <w:t>This document is a draft subject to legal review. It must not be issued, quoted from, or bound until Wording Partner sign-off.</w:t>
      </w:r>
    </w:p>
    <w:sectPr w:rsidR="00FC693F" w:rsidRPr="0006063C" w:rsidSect="00034616">
      <w:headerReference w:type="default" r:id="rId9"/>
      <w:footerReference w:type="default" r:id="rId10"/>
      <w:pgSz w:w="12240" w:h="15840"/>
      <w:pgMar w:top="1134" w:right="1247" w:bottom="1134" w:left="1247"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rFonts w:ascii="Consolas" w:hAnsi="Consolas" w:eastAsia="Consolas"/>
        <w:b w:val="0"/>
        <w:i w:val="0"/>
        <w:sz w:val="16"/>
      </w:rPr>
      <w:t>33°53′S · 151°16′E · Sydney     2026/CMV/0001 · CUTTLEFLOW PTY LTD T/A CUTTLEFLOW SYSTEMS</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Consolas" w:hAnsi="Consolas" w:eastAsia="Consolas"/>
        <w:b w:val="0"/>
        <w:i w:val="0"/>
        <w:color w:val="2E5C4E"/>
        <w:sz w:val="16"/>
      </w:rPr>
      <w:t>DRAFT — NOT FOR USE · COMMERCIAL MOTOR INSURANCE — INDIVIDUAL VEHICLES AND FLEETS · V3.1.0-DRAFT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olor w:val="1C1915"/>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Commercial Motor Insurance — Individual Vehicles and Fleets</dc:title>
  <dc:subject/>
  <dc:creator>Cuttleflow Pty Ltd trading as Cuttleflow Systems</dc:creator>
  <cp:keywords/>
  <dc:description>generated by python-docx</dc:description>
  <cp:lastModifiedBy/>
  <cp:revision>1</cp:revision>
  <dcterms:created xsi:type="dcterms:W3CDTF">2013-12-23T23:15:00Z</dcterms:created>
  <dcterms:modified xsi:type="dcterms:W3CDTF">2013-12-23T23:15:00Z</dcterms:modified>
  <cp:category/>
</cp:coreProperties>
</file>