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BUSINESS PACKAGE INSURANCE</w:t>
      </w:r>
    </w:p>
    <w:p>
      <w:r>
        <w:rPr>
          <w:rFonts w:ascii="Georgia" w:hAnsi="Georgia" w:eastAsia="Georgia"/>
          <w:b/>
          <w:i w:val="0"/>
          <w:sz w:val="60"/>
        </w:rPr>
        <w:t>Policy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2.2.0-DRAFT · November 2026 · CC BY 4.0 (wording text only)</w:t>
      </w:r>
    </w:p>
    <w:p>
      <w:r>
        <w:rPr>
          <w:rFonts w:ascii="Consolas" w:hAnsi="Consolas" w:eastAsia="Consolas"/>
          <w:b w:val="0"/>
          <w:i w:val="0"/>
          <w:sz w:val="18"/>
        </w:rPr>
        <w:t>Document ref 2026/PK/0001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bpk_about"/>
      <w:r>
        <w:rPr>
          <w:rFonts w:ascii="Georgia" w:hAnsi="Georgia" w:eastAsia="Georgia"/>
          <w:b/>
          <w:i w:val="0"/>
          <w:color w:val="1C1915"/>
          <w:sz w:val="32"/>
        </w:rPr>
        <w:t>About This Policy</w:t>
      </w:r>
      <w:bookmarkEnd w:id="0"/>
    </w:p>
    <w:p>
      <w:r>
        <w:rPr>
          <w:b w:val="0"/>
          <w:i w:val="0"/>
        </w:rPr>
        <w:t>This is a modular business insurance package for small and medium enterprises. It has eleven sections. Four sections are written for each Situation (a location where the Business operates). Seven sections are written once for the whole Business.</w:t>
      </w:r>
    </w:p>
    <w:p>
      <w:r>
        <w:rPr>
          <w:b w:val="0"/>
          <w:i w:val="0"/>
        </w:rPr>
        <w:t xml:space="preserve">A section provides cover only where the Schedule shows it as insured, and a section written for each Situation provides cover at a Situation only where the Schedule shows it as insured for that Situation. The Policy is made up of this wording, the Schedule and any Endorsement. Where the Schedule and this wording differ, the Schedule applies. Words with special meanings are listed in </w:t>
      </w:r>
      <w:hyperlink w:anchor="c_bpk_section_definitions">
        <w:r>
          <w:rPr>
            <w:color w:val="2E5C4E"/>
            <w:u w:val="single"/>
          </w:rPr>
          <w:t xml:space="preserve">the Definitions section</w:t>
        </w:r>
      </w:hyperlink>
      <w:r>
        <w:rPr>
          <w:b w:val="0"/>
          <w:i w:val="0"/>
        </w:rPr>
        <w:t>.</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r/>
            <w:r>
              <w:rPr>
                <w:b w:val="0"/>
                <w:i w:val="0"/>
              </w:rPr>
              <w:t>Section</w:t>
            </w:r>
          </w:p>
        </w:tc>
        <w:tc>
          <w:tcPr>
            <w:tcW w:type="dxa" w:w="2436"/>
          </w:tcPr>
          <w:p>
            <w:r/>
            <w:r>
              <w:rPr>
                <w:b w:val="0"/>
                <w:i w:val="0"/>
              </w:rPr>
              <w:t>Written for</w:t>
            </w:r>
          </w:p>
        </w:tc>
        <w:tc>
          <w:tcPr>
            <w:tcW w:type="dxa" w:w="2436"/>
          </w:tcPr>
          <w:p>
            <w:r/>
            <w:r>
              <w:rPr>
                <w:b w:val="0"/>
                <w:i w:val="0"/>
              </w:rPr>
              <w:t>What triggers cover</w:t>
            </w:r>
          </w:p>
        </w:tc>
        <w:tc>
          <w:tcPr>
            <w:tcW w:type="dxa" w:w="2436"/>
          </w:tcPr>
          <w:p>
            <w:r/>
            <w:r>
              <w:rPr>
                <w:b w:val="0"/>
                <w:i w:val="0"/>
              </w:rPr>
              <w:t>Limit</w:t>
            </w:r>
          </w:p>
        </w:tc>
      </w:tr>
      <w:tr>
        <w:tc>
          <w:tcPr>
            <w:tcW w:type="dxa" w:w="2436"/>
          </w:tcPr>
          <w:p>
            <w:r/>
            <w:hyperlink w:anchor="c_bpk_section_property_damage">
              <w:r>
                <w:rPr>
                  <w:color w:val="2E5C4E"/>
                  <w:u w:val="single"/>
                </w:rPr>
                <w:t xml:space="preserve">Property Damage</w:t>
              </w:r>
            </w:hyperlink>
          </w:p>
        </w:tc>
        <w:tc>
          <w:tcPr>
            <w:tcW w:type="dxa" w:w="2436"/>
          </w:tcPr>
          <w:p>
            <w:r/>
            <w:r>
              <w:rPr>
                <w:b w:val="0"/>
                <w:i w:val="0"/>
              </w:rPr>
              <w:t>Each Situation</w:t>
            </w:r>
          </w:p>
        </w:tc>
        <w:tc>
          <w:tcPr>
            <w:tcW w:type="dxa" w:w="2436"/>
          </w:tcPr>
          <w:p>
            <w:r/>
            <w:r>
              <w:rPr>
                <w:b w:val="0"/>
                <w:i w:val="0"/>
              </w:rPr>
              <w:t>Damage during the Period of Insurance</w:t>
            </w:r>
          </w:p>
        </w:tc>
        <w:tc>
          <w:tcPr>
            <w:tcW w:type="dxa" w:w="2436"/>
          </w:tcPr>
          <w:p>
            <w:r/>
            <w:r>
              <w:rPr>
                <w:b w:val="0"/>
                <w:i w:val="0"/>
              </w:rPr>
              <w:t>Sum insured for each item at each Situation</w:t>
            </w:r>
          </w:p>
        </w:tc>
      </w:tr>
      <w:tr>
        <w:tc>
          <w:tcPr>
            <w:tcW w:type="dxa" w:w="2436"/>
          </w:tcPr>
          <w:p>
            <w:r/>
            <w:hyperlink w:anchor="c_bpk_section_business_interruption">
              <w:r>
                <w:rPr>
                  <w:color w:val="2E5C4E"/>
                  <w:u w:val="single"/>
                </w:rPr>
                <w:t xml:space="preserve">Business Interruption</w:t>
              </w:r>
            </w:hyperlink>
          </w:p>
        </w:tc>
        <w:tc>
          <w:tcPr>
            <w:tcW w:type="dxa" w:w="2436"/>
          </w:tcPr>
          <w:p>
            <w:r/>
            <w:r>
              <w:rPr>
                <w:b w:val="0"/>
                <w:i w:val="0"/>
              </w:rPr>
              <w:t>Each Situation</w:t>
            </w:r>
          </w:p>
        </w:tc>
        <w:tc>
          <w:tcPr>
            <w:tcW w:type="dxa" w:w="2436"/>
          </w:tcPr>
          <w:p>
            <w:r/>
            <w:r>
              <w:rPr>
                <w:b w:val="0"/>
                <w:i w:val="0"/>
              </w:rPr>
              <w:t xml:space="preserve">Interruption following Damage covered under </w:t>
            </w:r>
            <w:hyperlink w:anchor="c_bpk_section_property_damage">
              <w:r>
                <w:rPr>
                  <w:color w:val="2E5C4E"/>
                  <w:u w:val="single"/>
                </w:rPr>
                <w:t xml:space="preserve">the Property Damage section</w:t>
              </w:r>
            </w:hyperlink>
          </w:p>
        </w:tc>
        <w:tc>
          <w:tcPr>
            <w:tcW w:type="dxa" w:w="2436"/>
          </w:tcPr>
          <w:p>
            <w:r/>
            <w:r>
              <w:rPr>
                <w:b w:val="0"/>
                <w:i w:val="0"/>
              </w:rPr>
              <w:t>Sum insured and indemnity period</w:t>
            </w:r>
          </w:p>
        </w:tc>
      </w:tr>
      <w:tr>
        <w:tc>
          <w:tcPr>
            <w:tcW w:type="dxa" w:w="2436"/>
          </w:tcPr>
          <w:p>
            <w:r/>
            <w:hyperlink w:anchor="c_bpk_section_crime">
              <w:r>
                <w:rPr>
                  <w:color w:val="2E5C4E"/>
                  <w:u w:val="single"/>
                </w:rPr>
                <w:t xml:space="preserve">Comprehensive Crime</w:t>
              </w:r>
            </w:hyperlink>
          </w:p>
        </w:tc>
        <w:tc>
          <w:tcPr>
            <w:tcW w:type="dxa" w:w="2436"/>
          </w:tcPr>
          <w:p>
            <w:r/>
            <w:r>
              <w:rPr>
                <w:b w:val="0"/>
                <w:i w:val="0"/>
              </w:rPr>
              <w:t>The Business</w:t>
            </w:r>
          </w:p>
        </w:tc>
        <w:tc>
          <w:tcPr>
            <w:tcW w:type="dxa" w:w="2436"/>
          </w:tcPr>
          <w:p>
            <w:r/>
            <w:r>
              <w:rPr>
                <w:b w:val="0"/>
                <w:i w:val="0"/>
              </w:rPr>
              <w:t>Loss discovered during the Period of Insurance</w:t>
            </w:r>
          </w:p>
        </w:tc>
        <w:tc>
          <w:tcPr>
            <w:tcW w:type="dxa" w:w="2436"/>
          </w:tcPr>
          <w:p>
            <w:r/>
            <w:r>
              <w:rPr>
                <w:b w:val="0"/>
                <w:i w:val="0"/>
              </w:rPr>
              <w:t>Section limit, aggregate</w:t>
            </w:r>
          </w:p>
        </w:tc>
      </w:tr>
      <w:tr>
        <w:tc>
          <w:tcPr>
            <w:tcW w:type="dxa" w:w="2436"/>
          </w:tcPr>
          <w:p>
            <w:r/>
            <w:hyperlink w:anchor="c_bpk_section_glass">
              <w:r>
                <w:rPr>
                  <w:color w:val="2E5C4E"/>
                  <w:u w:val="single"/>
                </w:rPr>
                <w:t xml:space="preserve">Glass</w:t>
              </w:r>
            </w:hyperlink>
          </w:p>
        </w:tc>
        <w:tc>
          <w:tcPr>
            <w:tcW w:type="dxa" w:w="2436"/>
          </w:tcPr>
          <w:p>
            <w:r/>
            <w:r>
              <w:rPr>
                <w:b w:val="0"/>
                <w:i w:val="0"/>
              </w:rPr>
              <w:t>Each Situation</w:t>
            </w:r>
          </w:p>
        </w:tc>
        <w:tc>
          <w:tcPr>
            <w:tcW w:type="dxa" w:w="2436"/>
          </w:tcPr>
          <w:p>
            <w:r/>
            <w:r>
              <w:rPr>
                <w:b w:val="0"/>
                <w:i w:val="0"/>
              </w:rPr>
              <w:t>Breakage during the Period of Insurance</w:t>
            </w:r>
          </w:p>
        </w:tc>
        <w:tc>
          <w:tcPr>
            <w:tcW w:type="dxa" w:w="2436"/>
          </w:tcPr>
          <w:p>
            <w:r/>
            <w:r>
              <w:rPr>
                <w:b w:val="0"/>
                <w:i w:val="0"/>
              </w:rPr>
              <w:t>Glass Sum insured at each Situation</w:t>
            </w:r>
          </w:p>
        </w:tc>
      </w:tr>
      <w:tr>
        <w:tc>
          <w:tcPr>
            <w:tcW w:type="dxa" w:w="2436"/>
          </w:tcPr>
          <w:p>
            <w:r/>
            <w:hyperlink w:anchor="c_bpk_section_liability">
              <w:r>
                <w:rPr>
                  <w:color w:val="2E5C4E"/>
                  <w:u w:val="single"/>
                </w:rPr>
                <w:t xml:space="preserve">Public and Products Liability</w:t>
              </w:r>
            </w:hyperlink>
          </w:p>
        </w:tc>
        <w:tc>
          <w:tcPr>
            <w:tcW w:type="dxa" w:w="2436"/>
          </w:tcPr>
          <w:p>
            <w:r/>
            <w:r>
              <w:rPr>
                <w:b w:val="0"/>
                <w:i w:val="0"/>
              </w:rPr>
              <w:t>The Business</w:t>
            </w:r>
          </w:p>
        </w:tc>
        <w:tc>
          <w:tcPr>
            <w:tcW w:type="dxa" w:w="2436"/>
          </w:tcPr>
          <w:p>
            <w:r/>
            <w:r>
              <w:rPr>
                <w:b w:val="0"/>
                <w:i w:val="0"/>
              </w:rPr>
              <w:t>Occurrence during the Period of Insurance</w:t>
            </w:r>
          </w:p>
        </w:tc>
        <w:tc>
          <w:tcPr>
            <w:tcW w:type="dxa" w:w="2436"/>
          </w:tcPr>
          <w:p>
            <w:r/>
            <w:r>
              <w:rPr>
                <w:b w:val="0"/>
                <w:i w:val="0"/>
              </w:rPr>
              <w:t>Limit each Occurrence; products aggregate</w:t>
            </w:r>
          </w:p>
        </w:tc>
      </w:tr>
      <w:tr>
        <w:tc>
          <w:tcPr>
            <w:tcW w:type="dxa" w:w="2436"/>
          </w:tcPr>
          <w:p>
            <w:r/>
            <w:hyperlink w:anchor="c_bpk_section_equipment">
              <w:r>
                <w:rPr>
                  <w:color w:val="2E5C4E"/>
                  <w:u w:val="single"/>
                </w:rPr>
                <w:t xml:space="preserve">Equipment Damage</w:t>
              </w:r>
            </w:hyperlink>
          </w:p>
        </w:tc>
        <w:tc>
          <w:tcPr>
            <w:tcW w:type="dxa" w:w="2436"/>
          </w:tcPr>
          <w:p>
            <w:r/>
            <w:r>
              <w:rPr>
                <w:b w:val="0"/>
                <w:i w:val="0"/>
              </w:rPr>
              <w:t>Each Situation</w:t>
            </w:r>
          </w:p>
        </w:tc>
        <w:tc>
          <w:tcPr>
            <w:tcW w:type="dxa" w:w="2436"/>
          </w:tcPr>
          <w:p>
            <w:r/>
            <w:r>
              <w:rPr>
                <w:b w:val="0"/>
                <w:i w:val="0"/>
              </w:rPr>
              <w:t>Breakdown during the Period of Insurance</w:t>
            </w:r>
          </w:p>
        </w:tc>
        <w:tc>
          <w:tcPr>
            <w:tcW w:type="dxa" w:w="2436"/>
          </w:tcPr>
          <w:p>
            <w:r/>
            <w:r>
              <w:rPr>
                <w:b w:val="0"/>
                <w:i w:val="0"/>
              </w:rPr>
              <w:t>Equipment Sum insured at each Situation</w:t>
            </w:r>
          </w:p>
        </w:tc>
      </w:tr>
      <w:tr>
        <w:tc>
          <w:tcPr>
            <w:tcW w:type="dxa" w:w="2436"/>
          </w:tcPr>
          <w:p>
            <w:r/>
            <w:hyperlink w:anchor="c_bpk_section_general_property">
              <w:r>
                <w:rPr>
                  <w:color w:val="2E5C4E"/>
                  <w:u w:val="single"/>
                </w:rPr>
                <w:t xml:space="preserve">General Property</w:t>
              </w:r>
            </w:hyperlink>
          </w:p>
        </w:tc>
        <w:tc>
          <w:tcPr>
            <w:tcW w:type="dxa" w:w="2436"/>
          </w:tcPr>
          <w:p>
            <w:r/>
            <w:r>
              <w:rPr>
                <w:b w:val="0"/>
                <w:i w:val="0"/>
              </w:rPr>
              <w:t>The Business</w:t>
            </w:r>
          </w:p>
        </w:tc>
        <w:tc>
          <w:tcPr>
            <w:tcW w:type="dxa" w:w="2436"/>
          </w:tcPr>
          <w:p>
            <w:r/>
            <w:r>
              <w:rPr>
                <w:b w:val="0"/>
                <w:i w:val="0"/>
              </w:rPr>
              <w:t>Damage during the Period of Insurance</w:t>
            </w:r>
          </w:p>
        </w:tc>
        <w:tc>
          <w:tcPr>
            <w:tcW w:type="dxa" w:w="2436"/>
          </w:tcPr>
          <w:p>
            <w:r/>
            <w:r>
              <w:rPr>
                <w:b w:val="0"/>
                <w:i w:val="0"/>
              </w:rPr>
              <w:t>Blanket Sum insured; per-item limit</w:t>
            </w:r>
          </w:p>
        </w:tc>
      </w:tr>
      <w:tr>
        <w:tc>
          <w:tcPr>
            <w:tcW w:type="dxa" w:w="2436"/>
          </w:tcPr>
          <w:p>
            <w:r/>
            <w:hyperlink w:anchor="c_bpk_section_transit">
              <w:r>
                <w:rPr>
                  <w:color w:val="2E5C4E"/>
                  <w:u w:val="single"/>
                </w:rPr>
                <w:t xml:space="preserve">Goods in Transit</w:t>
              </w:r>
            </w:hyperlink>
          </w:p>
        </w:tc>
        <w:tc>
          <w:tcPr>
            <w:tcW w:type="dxa" w:w="2436"/>
          </w:tcPr>
          <w:p>
            <w:r/>
            <w:r>
              <w:rPr>
                <w:b w:val="0"/>
                <w:i w:val="0"/>
              </w:rPr>
              <w:t>The Business</w:t>
            </w:r>
          </w:p>
        </w:tc>
        <w:tc>
          <w:tcPr>
            <w:tcW w:type="dxa" w:w="2436"/>
          </w:tcPr>
          <w:p>
            <w:r/>
            <w:r>
              <w:rPr>
                <w:b w:val="0"/>
                <w:i w:val="0"/>
              </w:rPr>
              <w:t>Damage during the Period of Insurance</w:t>
            </w:r>
          </w:p>
        </w:tc>
        <w:tc>
          <w:tcPr>
            <w:tcW w:type="dxa" w:w="2436"/>
          </w:tcPr>
          <w:p>
            <w:r/>
            <w:r>
              <w:rPr>
                <w:b w:val="0"/>
                <w:i w:val="0"/>
              </w:rPr>
              <w:t>Limit any one conveyance</w:t>
            </w:r>
          </w:p>
        </w:tc>
      </w:tr>
      <w:tr>
        <w:tc>
          <w:tcPr>
            <w:tcW w:type="dxa" w:w="2436"/>
          </w:tcPr>
          <w:p>
            <w:r/>
            <w:hyperlink w:anchor="c_bpk_section_tax_audit">
              <w:r>
                <w:rPr>
                  <w:color w:val="2E5C4E"/>
                  <w:u w:val="single"/>
                </w:rPr>
                <w:t xml:space="preserve">Tax Audit</w:t>
              </w:r>
            </w:hyperlink>
          </w:p>
        </w:tc>
        <w:tc>
          <w:tcPr>
            <w:tcW w:type="dxa" w:w="2436"/>
          </w:tcPr>
          <w:p>
            <w:r/>
            <w:r>
              <w:rPr>
                <w:b w:val="0"/>
                <w:i w:val="0"/>
              </w:rPr>
              <w:t>The Business</w:t>
            </w:r>
          </w:p>
        </w:tc>
        <w:tc>
          <w:tcPr>
            <w:tcW w:type="dxa" w:w="2436"/>
          </w:tcPr>
          <w:p>
            <w:r/>
            <w:r>
              <w:rPr>
                <w:b w:val="0"/>
                <w:i w:val="0"/>
              </w:rPr>
              <w:t>Audit notice first received during the Period of Insurance</w:t>
            </w:r>
          </w:p>
        </w:tc>
        <w:tc>
          <w:tcPr>
            <w:tcW w:type="dxa" w:w="2436"/>
          </w:tcPr>
          <w:p>
            <w:r/>
            <w:r>
              <w:rPr>
                <w:b w:val="0"/>
                <w:i w:val="0"/>
              </w:rPr>
              <w:t>Section limit, aggregate</w:t>
            </w:r>
          </w:p>
        </w:tc>
      </w:tr>
      <w:tr>
        <w:tc>
          <w:tcPr>
            <w:tcW w:type="dxa" w:w="2436"/>
          </w:tcPr>
          <w:p>
            <w:r/>
            <w:hyperlink w:anchor="c_bpk_section_cyber">
              <w:r>
                <w:rPr>
                  <w:color w:val="2E5C4E"/>
                  <w:u w:val="single"/>
                </w:rPr>
                <w:t xml:space="preserve">Cyber</w:t>
              </w:r>
            </w:hyperlink>
          </w:p>
        </w:tc>
        <w:tc>
          <w:tcPr>
            <w:tcW w:type="dxa" w:w="2436"/>
          </w:tcPr>
          <w:p>
            <w:r/>
            <w:r>
              <w:rPr>
                <w:b w:val="0"/>
                <w:i w:val="0"/>
              </w:rPr>
              <w:t>The Business</w:t>
            </w:r>
          </w:p>
        </w:tc>
        <w:tc>
          <w:tcPr>
            <w:tcW w:type="dxa" w:w="2436"/>
          </w:tcPr>
          <w:p>
            <w:r/>
            <w:r>
              <w:rPr>
                <w:b w:val="0"/>
                <w:i w:val="0"/>
              </w:rPr>
              <w:t>First-party: Cyber event first discovered; liability: Claim first made, during the Period of Insurance</w:t>
            </w:r>
          </w:p>
        </w:tc>
        <w:tc>
          <w:tcPr>
            <w:tcW w:type="dxa" w:w="2436"/>
          </w:tcPr>
          <w:p>
            <w:r/>
            <w:r>
              <w:rPr>
                <w:b w:val="0"/>
                <w:i w:val="0"/>
              </w:rPr>
              <w:t>Section limit, aggregate</w:t>
            </w:r>
          </w:p>
        </w:tc>
      </w:tr>
      <w:tr>
        <w:tc>
          <w:tcPr>
            <w:tcW w:type="dxa" w:w="2436"/>
          </w:tcPr>
          <w:p>
            <w:r/>
            <w:hyperlink w:anchor="c_bpk_section_management_liability">
              <w:r>
                <w:rPr>
                  <w:color w:val="2E5C4E"/>
                  <w:u w:val="single"/>
                </w:rPr>
                <w:t xml:space="preserve">Management Liability</w:t>
              </w:r>
            </w:hyperlink>
          </w:p>
        </w:tc>
        <w:tc>
          <w:tcPr>
            <w:tcW w:type="dxa" w:w="2436"/>
          </w:tcPr>
          <w:p>
            <w:r/>
            <w:r>
              <w:rPr>
                <w:b w:val="0"/>
                <w:i w:val="0"/>
              </w:rPr>
              <w:t>The Business</w:t>
            </w:r>
          </w:p>
        </w:tc>
        <w:tc>
          <w:tcPr>
            <w:tcW w:type="dxa" w:w="2436"/>
          </w:tcPr>
          <w:p>
            <w:r/>
            <w:r>
              <w:rPr>
                <w:b w:val="0"/>
                <w:i w:val="0"/>
              </w:rPr>
              <w:t>Claim first made during the Period of Insurance</w:t>
            </w:r>
          </w:p>
        </w:tc>
        <w:tc>
          <w:tcPr>
            <w:tcW w:type="dxa" w:w="2436"/>
          </w:tcPr>
          <w:p>
            <w:r/>
            <w:r>
              <w:rPr>
                <w:b w:val="0"/>
                <w:i w:val="0"/>
              </w:rPr>
              <w:t>Section limit, aggregate</w:t>
            </w:r>
          </w:p>
        </w:tc>
      </w:tr>
    </w:tbl>
    <w:p>
      <w:bookmarkStart w:id="1" w:name="c_bpk_who_this_is_for"/>
      <w:r>
        <w:rPr>
          <w:rFonts w:ascii="Georgia" w:hAnsi="Georgia" w:eastAsia="Georgia"/>
          <w:b/>
          <w:i w:val="0"/>
          <w:color w:val="1C1915"/>
          <w:sz w:val="32"/>
        </w:rPr>
        <w:t>Who This Policy Is For</w:t>
      </w:r>
      <w:bookmarkEnd w:id="1"/>
    </w:p>
    <w:p>
      <w:r>
        <w:rPr>
          <w:b w:val="0"/>
          <w:i w:val="0"/>
        </w:rPr>
        <w:t xml:space="preserve">This Policy is designed for Australian small and medium businesses. It is not a consumer insurance contract: it is not entered into wholly or predominantly for personal, domestic or household purposes, and the duty of disclosure in </w:t>
      </w:r>
      <w:hyperlink w:anchor="c_bpk_cond_duty_of_disclosure">
        <w:r>
          <w:rPr>
            <w:color w:val="2E5C4E"/>
            <w:u w:val="single"/>
          </w:rPr>
          <w:t xml:space="preserve">the Duty of Disclosure condition</w:t>
        </w:r>
      </w:hyperlink>
      <w:r>
        <w:rPr>
          <w:b w:val="0"/>
          <w:i w:val="0"/>
        </w:rPr>
        <w:t xml:space="preserve"> applies.</w:t>
      </w:r>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 [WP REVIEW: confirm the retail/wholesale posture for the package roll-up, and whether the Cyber and Management Liability sections change it.]</w:t>
      </w:r>
    </w:p>
    <w:p>
      <w:bookmarkStart w:id="2" w:name="c_bpk_claims_made_notice"/>
      <w:r>
        <w:rPr>
          <w:rFonts w:ascii="Georgia" w:hAnsi="Georgia" w:eastAsia="Georgia"/>
          <w:b/>
          <w:i w:val="0"/>
          <w:color w:val="1C1915"/>
          <w:sz w:val="32"/>
        </w:rPr>
        <w:t>Notice Under s 40 of the Insurance Contracts Act</w:t>
      </w:r>
      <w:bookmarkEnd w:id="2"/>
    </w:p>
    <w:p>
      <w:hyperlink w:anchor="c_bpk_section_tax_audit">
        <w:r>
          <w:rPr>
            <w:color w:val="2E5C4E"/>
            <w:u w:val="single"/>
          </w:rPr>
          <w:t xml:space="preserve">Tax Audit</w:t>
        </w:r>
      </w:hyperlink>
      <w:r>
        <w:rPr>
          <w:b w:val="0"/>
          <w:i w:val="0"/>
        </w:rPr>
        <w:t xml:space="preserve">, </w:t>
      </w:r>
      <w:hyperlink w:anchor="c_bpk_section_management_liability">
        <w:r>
          <w:rPr>
            <w:color w:val="2E5C4E"/>
            <w:u w:val="single"/>
          </w:rPr>
          <w:t xml:space="preserve">Management Liability</w:t>
        </w:r>
      </w:hyperlink>
      <w:r>
        <w:rPr>
          <w:b w:val="0"/>
          <w:i w:val="0"/>
        </w:rPr>
        <w:t xml:space="preserve"> and the liability cover in </w:t>
      </w:r>
      <w:hyperlink w:anchor="c_bpk_section_cyber">
        <w:r>
          <w:rPr>
            <w:color w:val="2E5C4E"/>
            <w:u w:val="single"/>
          </w:rPr>
          <w:t xml:space="preserve">the Cyber section</w:t>
        </w:r>
      </w:hyperlink>
      <w:r>
        <w:rPr>
          <w:b w:val="0"/>
          <w:i w:val="0"/>
        </w:rPr>
        <w:t xml:space="preserve"> respond only to matters first made or notified during the Period of Insurance.</w:t>
      </w:r>
    </w:p>
    <w:p>
      <w:r>
        <w:rPr>
          <w:b w:val="0"/>
          <w:i w:val="0"/>
        </w:rPr>
        <w:t xml:space="preserve">If, during the Period of Insurance, you give us written notice of facts that might give rise to a Claim or an Audit notice, s 40(3) of the Insurance Contracts Act 1984 (Cth) means we cannot refuse to pay a later Claim or Audit notice arising from those facts only because it was made after the Period of Insurance ended. </w:t>
      </w:r>
      <w:hyperlink w:anchor="c_bpk_cond_notice_of_circumstances">
        <w:r>
          <w:rPr>
            <w:color w:val="2E5C4E"/>
            <w:u w:val="single"/>
          </w:rPr>
          <w:t xml:space="preserve">The Notice of Circumstances condition</w:t>
        </w:r>
      </w:hyperlink>
      <w:r>
        <w:rPr>
          <w:b w:val="0"/>
          <w:i w:val="0"/>
        </w:rPr>
        <w:t xml:space="preserve"> sets out how to give that notice.</w:t>
      </w:r>
    </w:p>
    <w:p>
      <w:bookmarkStart w:id="3" w:name="c_bpk_version_history"/>
      <w:r>
        <w:rPr>
          <w:rFonts w:ascii="Georgia" w:hAnsi="Georgia" w:eastAsia="Georgia"/>
          <w:b/>
          <w:i w:val="0"/>
          <w:color w:val="1C1915"/>
          <w:sz w:val="32"/>
        </w:rPr>
        <w:t>Version and Document History</w:t>
      </w:r>
      <w:bookmarkEnd w:id="3"/>
    </w:p>
    <w:p>
      <w:r>
        <w:rPr>
          <w:b w:val="0"/>
          <w:i w:val="0"/>
        </w:rPr>
        <w:t xml:space="preserve">This document is version-controlled. The version and date shown on the cover page and in the footer of each page govern this text. </w:t>
      </w:r>
      <w:hyperlink w:anchor="c_bpk_cond_version_of_this_wording">
        <w:r>
          <w:rPr>
            <w:color w:val="2E5C4E"/>
            <w:u w:val="single"/>
          </w:rPr>
          <w:t xml:space="preserve">The Version of This Wording condition</w:t>
        </w:r>
      </w:hyperlink>
      <w:r>
        <w:rPr>
          <w:b w:val="0"/>
          <w:i w:val="0"/>
        </w:rPr>
        <w:t xml:space="preserve"> says which version applies to your Policy.</w:t>
      </w:r>
    </w:p>
    <w:p>
      <w:bookmarkStart w:id="4" w:name="c_bpk_schedule"/>
      <w:r>
        <w:rPr>
          <w:rFonts w:ascii="Georgia" w:hAnsi="Georgia" w:eastAsia="Georgia"/>
          <w:b/>
          <w:i w:val="0"/>
          <w:color w:val="1C1915"/>
          <w:sz w:val="32"/>
        </w:rPr>
        <w:t>Schedule</w:t>
      </w:r>
      <w:bookmarkEnd w:id="4"/>
    </w:p>
    <w:p>
      <w:r>
        <w:rPr>
          <w:b w:val="0"/>
          <w:i w:val="0"/>
        </w:rPr>
        <w:t>(Completed separately for each policy. It contains your specific details.)</w:t>
      </w:r>
    </w:p>
    <w:p>
      <w:r>
        <w:rPr>
          <w:b w:val="0"/>
          <w:i w:val="0"/>
        </w:rPr>
        <w:t>The Schedule shows:</w:t>
      </w:r>
    </w:p>
    <w:p>
      <w:pPr>
        <w:pStyle w:val="ListBullet"/>
      </w:pPr>
      <w:r>
        <w:rPr>
          <w:b w:val="0"/>
          <w:i w:val="0"/>
        </w:rPr>
        <w:t>The named insured, ABN and any subsidiaries named</w:t>
      </w:r>
    </w:p>
    <w:p>
      <w:pPr>
        <w:pStyle w:val="ListBullet"/>
      </w:pPr>
      <w:r>
        <w:rPr>
          <w:b w:val="0"/>
          <w:i w:val="0"/>
        </w:rPr>
        <w:t>The Business, and its activities as ANZSIC 2006 classes</w:t>
      </w:r>
    </w:p>
    <w:p>
      <w:pPr>
        <w:pStyle w:val="ListBullet"/>
      </w:pPr>
      <w:r>
        <w:rPr>
          <w:b w:val="0"/>
          <w:i w:val="0"/>
        </w:rPr>
        <w:t>The Period of Insurance</w:t>
      </w:r>
    </w:p>
    <w:p>
      <w:pPr>
        <w:pStyle w:val="ListBullet"/>
      </w:pPr>
      <w:r>
        <w:rPr>
          <w:b w:val="0"/>
          <w:i w:val="0"/>
        </w:rPr>
        <w:t xml:space="preserve">Each Situation, and for each Situation the sections insured there, the property insured, each Sum insured, the Excess, and for </w:t>
      </w:r>
      <w:hyperlink w:anchor="c_bpk_section_business_interruption">
        <w:r>
          <w:rPr>
            <w:color w:val="2E5C4E"/>
            <w:u w:val="single"/>
          </w:rPr>
          <w:t xml:space="preserve">Business Interruption</w:t>
        </w:r>
      </w:hyperlink>
      <w:r>
        <w:rPr>
          <w:b w:val="0"/>
          <w:i w:val="0"/>
        </w:rPr>
        <w:t xml:space="preserve"> the gross profit Sum insured, indemnity period and any waiting period</w:t>
      </w:r>
    </w:p>
    <w:p>
      <w:pPr>
        <w:pStyle w:val="ListBullet"/>
      </w:pPr>
      <w:r>
        <w:rPr>
          <w:b w:val="0"/>
          <w:i w:val="0"/>
        </w:rPr>
        <w:t>The sections insured for the whole Business, with each section limit and Excess</w:t>
      </w:r>
    </w:p>
    <w:p>
      <w:pPr>
        <w:pStyle w:val="ListBullet"/>
      </w:pPr>
      <w:r>
        <w:rPr>
          <w:b w:val="0"/>
          <w:i w:val="0"/>
        </w:rPr>
        <w:t xml:space="preserve">Sub-limits and other values that differ from the defaults in </w:t>
      </w:r>
      <w:hyperlink w:anchor="c_bpk_appendix_default_schedule_values">
        <w:r>
          <w:rPr>
            <w:color w:val="2E5C4E"/>
            <w:u w:val="single"/>
          </w:rPr>
          <w:t xml:space="preserve">the Default Schedule Values</w:t>
        </w:r>
      </w:hyperlink>
    </w:p>
    <w:p>
      <w:pPr>
        <w:pStyle w:val="ListBullet"/>
      </w:pPr>
      <w:r>
        <w:rPr>
          <w:b w:val="0"/>
          <w:i w:val="0"/>
        </w:rPr>
        <w:t xml:space="preserve">The Retroactive date for </w:t>
      </w:r>
      <w:hyperlink w:anchor="c_bpk_section_cyber">
        <w:r>
          <w:rPr>
            <w:color w:val="2E5C4E"/>
            <w:u w:val="single"/>
          </w:rPr>
          <w:t xml:space="preserve">Cyber</w:t>
        </w:r>
      </w:hyperlink>
      <w:r>
        <w:rPr>
          <w:b w:val="0"/>
          <w:i w:val="0"/>
        </w:rPr>
        <w:t xml:space="preserve"> and </w:t>
      </w:r>
      <w:hyperlink w:anchor="c_bpk_section_management_liability">
        <w:r>
          <w:rPr>
            <w:color w:val="2E5C4E"/>
            <w:u w:val="single"/>
          </w:rPr>
          <w:t xml:space="preserve">Management Liability</w:t>
        </w:r>
      </w:hyperlink>
      <w:r>
        <w:rPr>
          <w:b w:val="0"/>
          <w:i w:val="0"/>
        </w:rPr>
        <w:t>, and the pending and prior date</w:t>
      </w:r>
    </w:p>
    <w:p>
      <w:pPr>
        <w:pStyle w:val="ListBullet"/>
      </w:pPr>
      <w:r>
        <w:rPr>
          <w:b w:val="0"/>
          <w:i w:val="0"/>
        </w:rPr>
        <w:t>The declared figures used for rating, including turnover, employees and annual carryings</w:t>
      </w:r>
    </w:p>
    <w:p>
      <w:pPr>
        <w:pStyle w:val="ListBullet"/>
      </w:pPr>
      <w:r>
        <w:rPr>
          <w:b w:val="0"/>
          <w:i w:val="0"/>
        </w:rPr>
        <w:t>The premium for each section, with stamp duty, levies and GST</w:t>
      </w:r>
    </w:p>
    <w:p>
      <w:pPr>
        <w:pStyle w:val="ListBullet"/>
      </w:pPr>
      <w:r>
        <w:rPr>
          <w:b w:val="0"/>
          <w:i w:val="0"/>
        </w:rPr>
        <w:t xml:space="preserve">The State or Territory whose law governs this Policy (see </w:t>
      </w:r>
      <w:hyperlink w:anchor="c_bpk_cond_governing_law_and_jurisdictio">
        <w:r>
          <w:rPr>
            <w:color w:val="2E5C4E"/>
            <w:u w:val="single"/>
          </w:rPr>
          <w:t xml:space="preserve">the Governing Law and Jurisdiction condition</w:t>
        </w:r>
      </w:hyperlink>
      <w:r>
        <w:rPr>
          <w:b w:val="0"/>
          <w:i w:val="0"/>
        </w:rPr>
        <w:t>)</w:t>
      </w:r>
    </w:p>
    <w:p>
      <w:pPr>
        <w:pStyle w:val="ListBullet"/>
      </w:pPr>
      <w:r>
        <w:rPr>
          <w:b w:val="0"/>
          <w:i w:val="0"/>
        </w:rPr>
        <w:t>The Endorsements that apply, by code, with their variables</w:t>
      </w:r>
    </w:p>
    <w:p>
      <w:pPr>
        <w:pStyle w:val="ListBullet"/>
      </w:pPr>
      <w:r>
        <w:rPr>
          <w:b w:val="0"/>
          <w:i w:val="0"/>
        </w:rPr>
        <w:t>Interested parties</w:t>
      </w:r>
    </w:p>
    <w:p>
      <w:bookmarkStart w:id="5" w:name="c_bpk_section_definitions"/>
      <w:r>
        <w:rPr>
          <w:rFonts w:ascii="Georgia" w:hAnsi="Georgia" w:eastAsia="Georgia"/>
          <w:b/>
          <w:i w:val="0"/>
          <w:color w:val="1C1915"/>
          <w:sz w:val="32"/>
        </w:rPr>
        <w:t>Definitions</w:t>
      </w:r>
      <w:bookmarkEnd w:id="5"/>
    </w:p>
    <w:p>
      <w:r>
        <w:rPr>
          <w:b w:val="0"/>
          <w:i w:val="0"/>
        </w:rPr>
        <w:t>These words have the meanings below wherever they appear in this Policy, the Schedule or an Endorsement, with a capital letter. Where a definition says it applies in one section only, it has that meaning in that section, and the word has its ordinary meaning elsewhere. The singular includes the plural.</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6" w:name="c_bpk_def_audit_notice"/>
            <w:r>
              <w:rPr>
                <w:b/>
                <w:i w:val="0"/>
              </w:rPr>
              <w:t>Audit notice</w:t>
            </w:r>
            <w:bookmarkEnd w:id="6"/>
          </w:p>
        </w:tc>
        <w:tc>
          <w:tcPr>
            <w:tcW w:type="dxa" w:w="6803"/>
          </w:tcPr>
          <w:p>
            <w:r>
              <w:rPr>
                <w:b w:val="0"/>
                <w:i w:val="0"/>
              </w:rPr>
              <w:t>A written notice from the Australian Taxation Office or a State or Territory revenue office that it will conduct an audit, review or investigation of the Business or of a director's tax affairs relating to the Business.</w:t>
            </w:r>
          </w:p>
        </w:tc>
      </w:tr>
      <w:tr>
        <w:tc>
          <w:tcPr>
            <w:tcW w:type="dxa" w:w="2608"/>
          </w:tcPr>
          <w:p>
            <w:bookmarkStart w:id="7" w:name="c_bpk_def_breakdown"/>
            <w:r>
              <w:rPr>
                <w:b/>
                <w:i w:val="0"/>
              </w:rPr>
              <w:t>Breakdown</w:t>
            </w:r>
            <w:bookmarkEnd w:id="7"/>
          </w:p>
        </w:tc>
        <w:tc>
          <w:tcPr>
            <w:tcW w:type="dxa" w:w="6803"/>
          </w:tcPr>
          <w:p>
            <w:r>
              <w:rPr>
                <w:b w:val="0"/>
                <w:i w:val="0"/>
              </w:rPr>
              <w:t>The actual breaking, distortion, burning out, or electrical or mechanical failure of a part of an item while in use or being tested after repair, requiring repair or replacement before the item can resume normal operation.</w:t>
            </w:r>
          </w:p>
        </w:tc>
      </w:tr>
      <w:tr>
        <w:tc>
          <w:tcPr>
            <w:tcW w:type="dxa" w:w="2608"/>
          </w:tcPr>
          <w:p>
            <w:bookmarkStart w:id="8" w:name="c_bpk_def_building"/>
            <w:r>
              <w:rPr>
                <w:b/>
                <w:i w:val="0"/>
              </w:rPr>
              <w:t>Building</w:t>
            </w:r>
            <w:bookmarkEnd w:id="8"/>
          </w:p>
        </w:tc>
        <w:tc>
          <w:tcPr>
            <w:tcW w:type="dxa" w:w="6803"/>
          </w:tcPr>
          <w:p>
            <w:r>
              <w:rPr>
                <w:b w:val="0"/>
                <w:i w:val="0"/>
              </w:rPr>
              <w:t>The building at the Situation, including foundations, fixtures, fittings and fixed services (electrical, plumbing, heating, cooling, fire protection, lifts and escalators), to the extent you are responsible for insuring them.</w:t>
            </w:r>
          </w:p>
        </w:tc>
      </w:tr>
      <w:tr>
        <w:tc>
          <w:tcPr>
            <w:tcW w:type="dxa" w:w="2608"/>
          </w:tcPr>
          <w:p>
            <w:bookmarkStart w:id="9" w:name="c_bpk_def_business"/>
            <w:r>
              <w:rPr>
                <w:b/>
                <w:i w:val="0"/>
              </w:rPr>
              <w:t>Business</w:t>
            </w:r>
            <w:bookmarkEnd w:id="9"/>
          </w:p>
        </w:tc>
        <w:tc>
          <w:tcPr>
            <w:tcW w:type="dxa" w:w="6803"/>
          </w:tcPr>
          <w:p>
            <w:r>
              <w:rPr>
                <w:b w:val="0"/>
                <w:i w:val="0"/>
              </w:rPr>
              <w:t>The business described in the Schedule.</w:t>
            </w:r>
          </w:p>
        </w:tc>
      </w:tr>
      <w:tr>
        <w:tc>
          <w:tcPr>
            <w:tcW w:type="dxa" w:w="2608"/>
          </w:tcPr>
          <w:p>
            <w:bookmarkStart w:id="10" w:name="c_bpk_def_claim"/>
            <w:r>
              <w:rPr>
                <w:b/>
                <w:i w:val="0"/>
              </w:rPr>
              <w:t>Claim</w:t>
            </w:r>
            <w:bookmarkEnd w:id="10"/>
          </w:p>
        </w:tc>
        <w:tc>
          <w:tcPr>
            <w:tcW w:type="dxa" w:w="6803"/>
          </w:tcPr>
          <w:p>
            <w:r>
              <w:rPr>
                <w:b w:val="0"/>
                <w:i w:val="0"/>
              </w:rPr>
              <w:t xml:space="preserve">In </w:t>
            </w:r>
            <w:hyperlink w:anchor="c_bpk_section_cyber">
              <w:r>
                <w:rPr>
                  <w:color w:val="2E5C4E"/>
                  <w:u w:val="single"/>
                </w:rPr>
                <w:t xml:space="preserve">the Cyber section</w:t>
              </w:r>
            </w:hyperlink>
            <w:r>
              <w:rPr>
                <w:b w:val="0"/>
                <w:i w:val="0"/>
              </w:rPr>
              <w:t>: a written demand for compensation, a civil proceeding, or a regulatory investigation, against you.</w:t>
            </w:r>
          </w:p>
          <w:p>
            <w:r>
              <w:rPr>
                <w:b w:val="0"/>
                <w:i w:val="0"/>
              </w:rPr>
              <w:t xml:space="preserve">In </w:t>
            </w:r>
            <w:hyperlink w:anchor="c_bpk_section_management_liability">
              <w:r>
                <w:rPr>
                  <w:color w:val="2E5C4E"/>
                  <w:u w:val="single"/>
                </w:rPr>
                <w:t xml:space="preserve">the Management Liability section</w:t>
              </w:r>
            </w:hyperlink>
            <w:r>
              <w:rPr>
                <w:b w:val="0"/>
                <w:i w:val="0"/>
              </w:rPr>
              <w:t>: a written demand for compensation, a civil, criminal, administrative or regulatory proceeding, or a formal investigation, against an insured for a Wrongful act.</w:t>
            </w:r>
          </w:p>
          <w:p>
            <w:r>
              <w:rPr>
                <w:b w:val="0"/>
                <w:i w:val="0"/>
              </w:rPr>
              <w:t xml:space="preserve">The word is used with a capital letter only in those two sections and in </w:t>
            </w:r>
            <w:hyperlink w:anchor="c_bpk_section_general_conditions">
              <w:r>
                <w:rPr>
                  <w:color w:val="2E5C4E"/>
                  <w:u w:val="single"/>
                </w:rPr>
                <w:t xml:space="preserve">the General Conditions section</w:t>
              </w:r>
            </w:hyperlink>
            <w:r>
              <w:rPr>
                <w:b w:val="0"/>
                <w:i w:val="0"/>
              </w:rPr>
              <w:t>.</w:t>
            </w:r>
          </w:p>
        </w:tc>
      </w:tr>
      <w:tr>
        <w:tc>
          <w:tcPr>
            <w:tcW w:type="dxa" w:w="2608"/>
          </w:tcPr>
          <w:p>
            <w:bookmarkStart w:id="11" w:name="c_bpk_def_computer_system"/>
            <w:r>
              <w:rPr>
                <w:b/>
                <w:i w:val="0"/>
              </w:rPr>
              <w:t>Computer system</w:t>
            </w:r>
            <w:bookmarkEnd w:id="11"/>
          </w:p>
        </w:tc>
        <w:tc>
          <w:tcPr>
            <w:tcW w:type="dxa" w:w="6803"/>
          </w:tcPr>
          <w:p>
            <w:r>
              <w:rPr>
                <w:b w:val="0"/>
                <w:i w:val="0"/>
              </w:rPr>
              <w:t>Computer hardware, software, networks and connected devices owned by, leased to or operated for you, other than a system operated by a third-party service provider for many customers.</w:t>
            </w:r>
          </w:p>
        </w:tc>
      </w:tr>
      <w:tr>
        <w:tc>
          <w:tcPr>
            <w:tcW w:type="dxa" w:w="2608"/>
          </w:tcPr>
          <w:p>
            <w:bookmarkStart w:id="12" w:name="c_bpk_def_contents"/>
            <w:r>
              <w:rPr>
                <w:b/>
                <w:i w:val="0"/>
              </w:rPr>
              <w:t>Contents</w:t>
            </w:r>
            <w:bookmarkEnd w:id="12"/>
          </w:p>
        </w:tc>
        <w:tc>
          <w:tcPr>
            <w:tcW w:type="dxa" w:w="6803"/>
          </w:tcPr>
          <w:p>
            <w:r>
              <w:rPr>
                <w:b w:val="0"/>
                <w:i w:val="0"/>
              </w:rPr>
              <w:t>Furniture, furnishings, fixtures, fittings, equipment, tools and other tangible property at the Situation that you own or are responsible for, but not Stock, Money, glass, vehicles, or property more specifically insured under another section.</w:t>
            </w:r>
          </w:p>
        </w:tc>
      </w:tr>
      <w:tr>
        <w:tc>
          <w:tcPr>
            <w:tcW w:type="dxa" w:w="2608"/>
          </w:tcPr>
          <w:p>
            <w:bookmarkStart w:id="13" w:name="c_bpk_def_control_group"/>
            <w:r>
              <w:rPr>
                <w:b/>
                <w:i w:val="0"/>
              </w:rPr>
              <w:t>Control group</w:t>
            </w:r>
            <w:bookmarkEnd w:id="13"/>
          </w:p>
        </w:tc>
        <w:tc>
          <w:tcPr>
            <w:tcW w:type="dxa" w:w="6803"/>
          </w:tcPr>
          <w:p>
            <w:r>
              <w:rPr>
                <w:b w:val="0"/>
                <w:i w:val="0"/>
              </w:rPr>
              <w:t>Your chief executive officer, chief financial officer, general counsel, head of risk or insurance, and directors, partners or principals, or a person performing an equivalent role.</w:t>
            </w:r>
          </w:p>
        </w:tc>
      </w:tr>
      <w:tr>
        <w:tc>
          <w:tcPr>
            <w:tcW w:type="dxa" w:w="2608"/>
          </w:tcPr>
          <w:p>
            <w:bookmarkStart w:id="14" w:name="c_bpk_def_cyber_event"/>
            <w:r>
              <w:rPr>
                <w:b/>
                <w:i w:val="0"/>
              </w:rPr>
              <w:t>Cyber event</w:t>
            </w:r>
            <w:bookmarkEnd w:id="14"/>
          </w:p>
        </w:tc>
        <w:tc>
          <w:tcPr>
            <w:tcW w:type="dxa" w:w="6803"/>
          </w:tcPr>
          <w:p>
            <w:r>
              <w:rPr>
                <w:b w:val="0"/>
                <w:i w:val="0"/>
              </w:rPr>
              <w:t>Unauthorised access, a malicious code attack, a denial-of-service attack, or a human error or system failure affecting your Computer system or Data.</w:t>
            </w:r>
          </w:p>
        </w:tc>
      </w:tr>
      <w:tr>
        <w:tc>
          <w:tcPr>
            <w:tcW w:type="dxa" w:w="2608"/>
          </w:tcPr>
          <w:p>
            <w:bookmarkStart w:id="15" w:name="c_bpk_def_damage"/>
            <w:r>
              <w:rPr>
                <w:b/>
                <w:i w:val="0"/>
              </w:rPr>
              <w:t>Damage</w:t>
            </w:r>
            <w:bookmarkEnd w:id="15"/>
          </w:p>
        </w:tc>
        <w:tc>
          <w:tcPr>
            <w:tcW w:type="dxa" w:w="6803"/>
          </w:tcPr>
          <w:p>
            <w:r>
              <w:rPr>
                <w:b w:val="0"/>
                <w:i w:val="0"/>
              </w:rPr>
              <w:t>Physical loss, destruction or damage. Damaged has a corresponding meaning.</w:t>
            </w:r>
          </w:p>
        </w:tc>
      </w:tr>
      <w:tr>
        <w:tc>
          <w:tcPr>
            <w:tcW w:type="dxa" w:w="2608"/>
          </w:tcPr>
          <w:p>
            <w:bookmarkStart w:id="16" w:name="c_bpk_def_data"/>
            <w:r>
              <w:rPr>
                <w:b/>
                <w:i w:val="0"/>
              </w:rPr>
              <w:t>Data</w:t>
            </w:r>
            <w:bookmarkEnd w:id="16"/>
          </w:p>
        </w:tc>
        <w:tc>
          <w:tcPr>
            <w:tcW w:type="dxa" w:w="6803"/>
          </w:tcPr>
          <w:p>
            <w:r>
              <w:rPr>
                <w:b w:val="0"/>
                <w:i w:val="0"/>
              </w:rPr>
              <w:t>Information held electronically on your Computer system.</w:t>
            </w:r>
          </w:p>
        </w:tc>
      </w:tr>
      <w:tr>
        <w:tc>
          <w:tcPr>
            <w:tcW w:type="dxa" w:w="2608"/>
          </w:tcPr>
          <w:p>
            <w:bookmarkStart w:id="17" w:name="c_bpk_def_defect"/>
            <w:r>
              <w:rPr>
                <w:b/>
                <w:i w:val="0"/>
              </w:rPr>
              <w:t>Defect</w:t>
            </w:r>
            <w:bookmarkEnd w:id="17"/>
          </w:p>
        </w:tc>
        <w:tc>
          <w:tcPr>
            <w:tcW w:type="dxa" w:w="6803"/>
          </w:tcPr>
          <w:p>
            <w:r>
              <w:rPr>
                <w:b w:val="0"/>
                <w:i w:val="0"/>
              </w:rPr>
              <w:t xml:space="preserve">In </w:t>
            </w:r>
            <w:hyperlink w:anchor="c_bpk_excl_known_defects">
              <w:r>
                <w:rPr>
                  <w:color w:val="2E5C4E"/>
                  <w:u w:val="single"/>
                </w:rPr>
                <w:t xml:space="preserve">the Known Defects exclusion</w:t>
              </w:r>
            </w:hyperlink>
            <w:r>
              <w:rPr>
                <w:b w:val="0"/>
                <w:i w:val="0"/>
              </w:rPr>
              <w:t>: a fault in the design, materials, workmanship or condition of property insured, or of a building or structure, that existed before the Period of Insurance started.</w:t>
            </w:r>
          </w:p>
        </w:tc>
      </w:tr>
      <w:tr>
        <w:tc>
          <w:tcPr>
            <w:tcW w:type="dxa" w:w="2608"/>
          </w:tcPr>
          <w:p>
            <w:bookmarkStart w:id="18" w:name="c_bpk_def_discovery"/>
            <w:r>
              <w:rPr>
                <w:b/>
                <w:i w:val="0"/>
              </w:rPr>
              <w:t>Discovery</w:t>
            </w:r>
            <w:bookmarkEnd w:id="18"/>
          </w:p>
        </w:tc>
        <w:tc>
          <w:tcPr>
            <w:tcW w:type="dxa" w:w="6803"/>
          </w:tcPr>
          <w:p>
            <w:r>
              <w:rPr>
                <w:b w:val="0"/>
                <w:i w:val="0"/>
              </w:rPr>
              <w:t xml:space="preserve">In </w:t>
            </w:r>
            <w:hyperlink w:anchor="c_bpk_section_crime">
              <w:r>
                <w:rPr>
                  <w:color w:val="2E5C4E"/>
                  <w:u w:val="single"/>
                </w:rPr>
                <w:t xml:space="preserve">the Comprehensive Crime section</w:t>
              </w:r>
            </w:hyperlink>
            <w:r>
              <w:rPr>
                <w:b w:val="0"/>
                <w:i w:val="0"/>
              </w:rPr>
              <w:t>: the time a Responsible person first becomes aware of facts that would cause a reasonable person to believe that a loss covered by that section has been or will be incurred, even if the amount or details are not yet known.</w:t>
            </w:r>
          </w:p>
        </w:tc>
      </w:tr>
      <w:tr>
        <w:tc>
          <w:tcPr>
            <w:tcW w:type="dxa" w:w="2608"/>
          </w:tcPr>
          <w:p>
            <w:bookmarkStart w:id="19" w:name="c_bpk_def_dishonest_act"/>
            <w:r>
              <w:rPr>
                <w:b/>
                <w:i w:val="0"/>
              </w:rPr>
              <w:t>Dishonest act</w:t>
            </w:r>
            <w:bookmarkEnd w:id="19"/>
          </w:p>
        </w:tc>
        <w:tc>
          <w:tcPr>
            <w:tcW w:type="dxa" w:w="6803"/>
          </w:tcPr>
          <w:p>
            <w:r>
              <w:rPr>
                <w:b w:val="0"/>
                <w:i w:val="0"/>
              </w:rPr>
              <w:t>A dishonest or fraudulent act committed with the intent to cause you a loss and to obtain a financial benefit, other than salary, fees, commissions or bonuses, for the Employee or another person.</w:t>
            </w:r>
          </w:p>
        </w:tc>
      </w:tr>
      <w:tr>
        <w:tc>
          <w:tcPr>
            <w:tcW w:type="dxa" w:w="2608"/>
          </w:tcPr>
          <w:p>
            <w:bookmarkStart w:id="20" w:name="c_bpk_def_employee"/>
            <w:r>
              <w:rPr>
                <w:b/>
                <w:i w:val="0"/>
              </w:rPr>
              <w:t>Employee</w:t>
            </w:r>
            <w:bookmarkEnd w:id="20"/>
          </w:p>
        </w:tc>
        <w:tc>
          <w:tcPr>
            <w:tcW w:type="dxa" w:w="6803"/>
          </w:tcPr>
          <w:p>
            <w:r>
              <w:rPr>
                <w:b w:val="0"/>
                <w:i w:val="0"/>
              </w:rPr>
              <w:t>A person working for you under a contract of employment (permanent, part-time, casual or seasonal), including volunteers, work experience students and labour hire workers under your direct supervision.</w:t>
            </w:r>
          </w:p>
        </w:tc>
      </w:tr>
      <w:tr>
        <w:tc>
          <w:tcPr>
            <w:tcW w:type="dxa" w:w="2608"/>
          </w:tcPr>
          <w:p>
            <w:bookmarkStart w:id="21" w:name="c_bpk_def_employment_claim"/>
            <w:r>
              <w:rPr>
                <w:b/>
                <w:i w:val="0"/>
              </w:rPr>
              <w:t>Employment claim</w:t>
            </w:r>
            <w:bookmarkEnd w:id="21"/>
          </w:p>
        </w:tc>
        <w:tc>
          <w:tcPr>
            <w:tcW w:type="dxa" w:w="6803"/>
          </w:tcPr>
          <w:p>
            <w:r>
              <w:rPr>
                <w:b w:val="0"/>
                <w:i w:val="0"/>
              </w:rPr>
              <w:t>A Claim alleging wrongful dismissal, discrimination, harassment, bullying, adverse action, breach of an employment contract, or another employment-related Wrongful act.</w:t>
            </w:r>
          </w:p>
        </w:tc>
      </w:tr>
      <w:tr>
        <w:tc>
          <w:tcPr>
            <w:tcW w:type="dxa" w:w="2608"/>
          </w:tcPr>
          <w:p>
            <w:bookmarkStart w:id="22" w:name="c_bpk_def_endorsement"/>
            <w:r>
              <w:rPr>
                <w:b/>
                <w:i w:val="0"/>
              </w:rPr>
              <w:t>Endorsement</w:t>
            </w:r>
            <w:bookmarkEnd w:id="22"/>
          </w:p>
        </w:tc>
        <w:tc>
          <w:tcPr>
            <w:tcW w:type="dxa" w:w="6803"/>
          </w:tcPr>
          <w:p>
            <w:r>
              <w:rPr>
                <w:b w:val="0"/>
                <w:i w:val="0"/>
              </w:rPr>
              <w:t>A document issued by us that changes this Policy and is listed in the Schedule.</w:t>
            </w:r>
          </w:p>
        </w:tc>
      </w:tr>
      <w:tr>
        <w:tc>
          <w:tcPr>
            <w:tcW w:type="dxa" w:w="2608"/>
          </w:tcPr>
          <w:p>
            <w:bookmarkStart w:id="23" w:name="c_bpk_def_excess"/>
            <w:r>
              <w:rPr>
                <w:b/>
                <w:i w:val="0"/>
              </w:rPr>
              <w:t>Excess</w:t>
            </w:r>
            <w:bookmarkEnd w:id="23"/>
          </w:p>
        </w:tc>
        <w:tc>
          <w:tcPr>
            <w:tcW w:type="dxa" w:w="6803"/>
          </w:tcPr>
          <w:p>
            <w:r>
              <w:rPr>
                <w:b w:val="0"/>
                <w:i w:val="0"/>
              </w:rPr>
              <w:t>The amount you bear as the first part of each claim or insured loss, as shown in the Schedule for the relevant section.</w:t>
            </w:r>
          </w:p>
        </w:tc>
      </w:tr>
      <w:tr>
        <w:tc>
          <w:tcPr>
            <w:tcW w:type="dxa" w:w="2608"/>
          </w:tcPr>
          <w:p>
            <w:bookmarkStart w:id="24" w:name="c_bpk_def_extended_reporting_period"/>
            <w:r>
              <w:rPr>
                <w:b/>
                <w:i w:val="0"/>
              </w:rPr>
              <w:t>Extended reporting period</w:t>
            </w:r>
            <w:bookmarkEnd w:id="24"/>
          </w:p>
        </w:tc>
        <w:tc>
          <w:tcPr>
            <w:tcW w:type="dxa" w:w="6803"/>
          </w:tcPr>
          <w:p>
            <w:r>
              <w:rPr>
                <w:b w:val="0"/>
                <w:i w:val="0"/>
              </w:rPr>
              <w:t xml:space="preserve">The period after the Period of Insurance ends during which a Claim may be first made and notified, as </w:t>
            </w:r>
            <w:hyperlink w:anchor="c_bpk_ml_claims_made">
              <w:r>
                <w:rPr>
                  <w:color w:val="2E5C4E"/>
                  <w:u w:val="single"/>
                </w:rPr>
                <w:t xml:space="preserve">the Management Liability Claims-made Conditions condition</w:t>
              </w:r>
            </w:hyperlink>
            <w:r>
              <w:rPr>
                <w:b w:val="0"/>
                <w:i w:val="0"/>
              </w:rPr>
              <w:t xml:space="preserve"> provides.</w:t>
            </w:r>
          </w:p>
        </w:tc>
      </w:tr>
      <w:tr>
        <w:tc>
          <w:tcPr>
            <w:tcW w:type="dxa" w:w="2608"/>
          </w:tcPr>
          <w:p>
            <w:bookmarkStart w:id="25" w:name="c_bpk_def_extortion_threat"/>
            <w:r>
              <w:rPr>
                <w:b/>
                <w:i w:val="0"/>
              </w:rPr>
              <w:t>Extortion threat</w:t>
            </w:r>
            <w:bookmarkEnd w:id="25"/>
          </w:p>
        </w:tc>
        <w:tc>
          <w:tcPr>
            <w:tcW w:type="dxa" w:w="6803"/>
          </w:tcPr>
          <w:p>
            <w:r>
              <w:rPr>
                <w:b w:val="0"/>
                <w:i w:val="0"/>
              </w:rPr>
              <w:t>A threat to damage, disclose, encrypt or withhold your Data or your Computer system unless a ransom is paid.</w:t>
            </w:r>
          </w:p>
        </w:tc>
      </w:tr>
      <w:tr>
        <w:tc>
          <w:tcPr>
            <w:tcW w:type="dxa" w:w="2608"/>
          </w:tcPr>
          <w:p>
            <w:bookmarkStart w:id="26" w:name="c_bpk_def_final_adjudication"/>
            <w:r>
              <w:rPr>
                <w:b/>
                <w:i w:val="0"/>
              </w:rPr>
              <w:t>Final adjudication</w:t>
            </w:r>
            <w:bookmarkEnd w:id="26"/>
          </w:p>
        </w:tc>
        <w:tc>
          <w:tcPr>
            <w:tcW w:type="dxa" w:w="6803"/>
          </w:tcPr>
          <w:p>
            <w:r>
              <w:rPr>
                <w:b w:val="0"/>
                <w:i w:val="0"/>
              </w:rPr>
              <w:t>A final judgment or determination by a court, tribunal or arbitrator after any appeal, or after the time to appeal has expired.</w:t>
            </w:r>
          </w:p>
        </w:tc>
      </w:tr>
      <w:tr>
        <w:tc>
          <w:tcPr>
            <w:tcW w:type="dxa" w:w="2608"/>
          </w:tcPr>
          <w:p>
            <w:bookmarkStart w:id="27" w:name="c_bpk_def_insured_event"/>
            <w:r>
              <w:rPr>
                <w:b/>
                <w:i w:val="0"/>
              </w:rPr>
              <w:t>Insured event</w:t>
            </w:r>
            <w:bookmarkEnd w:id="27"/>
          </w:p>
        </w:tc>
        <w:tc>
          <w:tcPr>
            <w:tcW w:type="dxa" w:w="6803"/>
          </w:tcPr>
          <w:p>
            <w:r>
              <w:rPr>
                <w:b w:val="0"/>
                <w:i w:val="0"/>
              </w:rPr>
              <w:t>An event that the relevant section covers.</w:t>
            </w:r>
          </w:p>
        </w:tc>
      </w:tr>
      <w:tr>
        <w:tc>
          <w:tcPr>
            <w:tcW w:type="dxa" w:w="2608"/>
          </w:tcPr>
          <w:p>
            <w:bookmarkStart w:id="28" w:name="c_bpk_def_insured_person"/>
            <w:r>
              <w:rPr>
                <w:b/>
                <w:i w:val="0"/>
              </w:rPr>
              <w:t>Insured person</w:t>
            </w:r>
            <w:bookmarkEnd w:id="28"/>
          </w:p>
        </w:tc>
        <w:tc>
          <w:tcPr>
            <w:tcW w:type="dxa" w:w="6803"/>
          </w:tcPr>
          <w:p>
            <w:r>
              <w:rPr>
                <w:b w:val="0"/>
                <w:i w:val="0"/>
              </w:rPr>
              <w:t>A past, present or future director, officer or Employee of the Business, while acting in that capacity.</w:t>
            </w:r>
          </w:p>
        </w:tc>
      </w:tr>
      <w:tr>
        <w:tc>
          <w:tcPr>
            <w:tcW w:type="dxa" w:w="2608"/>
          </w:tcPr>
          <w:p>
            <w:bookmarkStart w:id="29" w:name="c_bpk_def_interested_party"/>
            <w:r>
              <w:rPr>
                <w:b/>
                <w:i w:val="0"/>
              </w:rPr>
              <w:t>Interested party</w:t>
            </w:r>
            <w:bookmarkEnd w:id="29"/>
          </w:p>
        </w:tc>
        <w:tc>
          <w:tcPr>
            <w:tcW w:type="dxa" w:w="6803"/>
          </w:tcPr>
          <w:p>
            <w:r>
              <w:rPr>
                <w:b w:val="0"/>
                <w:i w:val="0"/>
              </w:rPr>
              <w:t>A mortgagee, financier, lessor or other party whose interest in insured property is noted in the Schedule.</w:t>
            </w:r>
          </w:p>
        </w:tc>
      </w:tr>
      <w:tr>
        <w:tc>
          <w:tcPr>
            <w:tcW w:type="dxa" w:w="2608"/>
          </w:tcPr>
          <w:p>
            <w:bookmarkStart w:id="30" w:name="c_bpk_def_loss"/>
            <w:r>
              <w:rPr>
                <w:b/>
                <w:i w:val="0"/>
              </w:rPr>
              <w:t>Loss</w:t>
            </w:r>
            <w:bookmarkEnd w:id="30"/>
          </w:p>
        </w:tc>
        <w:tc>
          <w:tcPr>
            <w:tcW w:type="dxa" w:w="6803"/>
          </w:tcPr>
          <w:p>
            <w:r>
              <w:rPr>
                <w:b w:val="0"/>
                <w:i w:val="0"/>
              </w:rPr>
              <w:t xml:space="preserve">In </w:t>
            </w:r>
            <w:hyperlink w:anchor="c_bpk_section_management_liability">
              <w:r>
                <w:rPr>
                  <w:color w:val="2E5C4E"/>
                  <w:u w:val="single"/>
                </w:rPr>
                <w:t xml:space="preserve">the Management Liability section</w:t>
              </w:r>
            </w:hyperlink>
            <w:r>
              <w:rPr>
                <w:b w:val="0"/>
                <w:i w:val="0"/>
              </w:rPr>
              <w:t xml:space="preserve">: compensation, settlements, judgments and defence costs, and fines and penalties only as </w:t>
            </w:r>
            <w:hyperlink w:anchor="c_bpk_ml_statutory_insurability">
              <w:r>
                <w:rPr>
                  <w:color w:val="2E5C4E"/>
                  <w:u w:val="single"/>
                </w:rPr>
                <w:t xml:space="preserve">the Statutory Insurability exclusion</w:t>
              </w:r>
            </w:hyperlink>
            <w:r>
              <w:rPr>
                <w:b w:val="0"/>
                <w:i w:val="0"/>
              </w:rPr>
              <w:t xml:space="preserve"> permits. Loss does not include tax, the cost of complying with an order, or matters uninsurable at law.</w:t>
            </w:r>
          </w:p>
        </w:tc>
      </w:tr>
      <w:tr>
        <w:tc>
          <w:tcPr>
            <w:tcW w:type="dxa" w:w="2608"/>
          </w:tcPr>
          <w:p>
            <w:bookmarkStart w:id="31" w:name="c_bpk_def_money"/>
            <w:r>
              <w:rPr>
                <w:b/>
                <w:i w:val="0"/>
              </w:rPr>
              <w:t>Money</w:t>
            </w:r>
            <w:bookmarkEnd w:id="31"/>
          </w:p>
        </w:tc>
        <w:tc>
          <w:tcPr>
            <w:tcW w:type="dxa" w:w="6803"/>
          </w:tcPr>
          <w:p>
            <w:r>
              <w:rPr>
                <w:b w:val="0"/>
                <w:i w:val="0"/>
              </w:rPr>
              <w:t>Current coins, banknotes, cheques, money orders, postal notes, unused postage stamps, gift cards and vouchers, belonging to you or held by you in trust.</w:t>
            </w:r>
          </w:p>
        </w:tc>
      </w:tr>
      <w:tr>
        <w:tc>
          <w:tcPr>
            <w:tcW w:type="dxa" w:w="2608"/>
          </w:tcPr>
          <w:p>
            <w:bookmarkStart w:id="32" w:name="c_bpk_def_occurrence"/>
            <w:r>
              <w:rPr>
                <w:b/>
                <w:i w:val="0"/>
              </w:rPr>
              <w:t>Occurrence</w:t>
            </w:r>
            <w:bookmarkEnd w:id="32"/>
          </w:p>
        </w:tc>
        <w:tc>
          <w:tcPr>
            <w:tcW w:type="dxa" w:w="6803"/>
          </w:tcPr>
          <w:p>
            <w:r>
              <w:rPr>
                <w:b w:val="0"/>
                <w:i w:val="0"/>
              </w:rPr>
              <w:t>An event, including continuous or repeated exposure to substantially the same conditions, that results in Personal injury or Property damage neither expected nor intended by you. All Personal injury and Property damage from one source or original cause is one Occurrence.</w:t>
            </w:r>
          </w:p>
        </w:tc>
      </w:tr>
      <w:tr>
        <w:tc>
          <w:tcPr>
            <w:tcW w:type="dxa" w:w="2608"/>
          </w:tcPr>
          <w:p>
            <w:bookmarkStart w:id="33" w:name="c_bpk_def_period_of_insurance"/>
            <w:r>
              <w:rPr>
                <w:b/>
                <w:i w:val="0"/>
              </w:rPr>
              <w:t>Period of Insurance</w:t>
            </w:r>
            <w:bookmarkEnd w:id="33"/>
          </w:p>
        </w:tc>
        <w:tc>
          <w:tcPr>
            <w:tcW w:type="dxa" w:w="6803"/>
          </w:tcPr>
          <w:p>
            <w:r>
              <w:rPr>
                <w:b w:val="0"/>
                <w:i w:val="0"/>
              </w:rPr>
              <w:t>The period shown in the Schedule.</w:t>
            </w:r>
          </w:p>
        </w:tc>
      </w:tr>
      <w:tr>
        <w:tc>
          <w:tcPr>
            <w:tcW w:type="dxa" w:w="2608"/>
          </w:tcPr>
          <w:p>
            <w:bookmarkStart w:id="34" w:name="c_bpk_def_personal_injury"/>
            <w:r>
              <w:rPr>
                <w:b/>
                <w:i w:val="0"/>
              </w:rPr>
              <w:t>Personal injury</w:t>
            </w:r>
            <w:bookmarkEnd w:id="34"/>
          </w:p>
        </w:tc>
        <w:tc>
          <w:tcPr>
            <w:tcW w:type="dxa" w:w="6803"/>
          </w:tcPr>
          <w:p>
            <w:r>
              <w:rPr>
                <w:b w:val="0"/>
                <w:i w:val="0"/>
              </w:rPr>
              <w:t>Bodily injury, death, illness, disease or shock, and mental injury arising from them, and also false arrest, wrongful detention, malicious prosecution, defamation and invasion of privacy.</w:t>
            </w:r>
          </w:p>
        </w:tc>
      </w:tr>
      <w:tr>
        <w:tc>
          <w:tcPr>
            <w:tcW w:type="dxa" w:w="2608"/>
          </w:tcPr>
          <w:p>
            <w:bookmarkStart w:id="35" w:name="c_bpk_def_premises"/>
            <w:r>
              <w:rPr>
                <w:b/>
                <w:i w:val="0"/>
              </w:rPr>
              <w:t>Premises</w:t>
            </w:r>
            <w:bookmarkEnd w:id="35"/>
          </w:p>
        </w:tc>
        <w:tc>
          <w:tcPr>
            <w:tcW w:type="dxa" w:w="6803"/>
          </w:tcPr>
          <w:p>
            <w:r>
              <w:rPr>
                <w:b w:val="0"/>
                <w:i w:val="0"/>
              </w:rPr>
              <w:t>The Building and land at a Situation.</w:t>
            </w:r>
          </w:p>
        </w:tc>
      </w:tr>
      <w:tr>
        <w:tc>
          <w:tcPr>
            <w:tcW w:type="dxa" w:w="2608"/>
          </w:tcPr>
          <w:p>
            <w:bookmarkStart w:id="36" w:name="c_bpk_def_property_damage"/>
            <w:r>
              <w:rPr>
                <w:b/>
                <w:i w:val="0"/>
              </w:rPr>
              <w:t>Property damage</w:t>
            </w:r>
            <w:bookmarkEnd w:id="36"/>
          </w:p>
        </w:tc>
        <w:tc>
          <w:tcPr>
            <w:tcW w:type="dxa" w:w="6803"/>
          </w:tcPr>
          <w:p>
            <w:r>
              <w:rPr>
                <w:b w:val="0"/>
                <w:i w:val="0"/>
              </w:rPr>
              <w:t>Physical damage to or destruction of tangible property, including resulting loss of use, and loss of use of tangible property that is not physically damaged.</w:t>
            </w:r>
          </w:p>
        </w:tc>
      </w:tr>
      <w:tr>
        <w:tc>
          <w:tcPr>
            <w:tcW w:type="dxa" w:w="2608"/>
          </w:tcPr>
          <w:p>
            <w:bookmarkStart w:id="37" w:name="c_bpk_def_responsible_person"/>
            <w:r>
              <w:rPr>
                <w:b/>
                <w:i w:val="0"/>
              </w:rPr>
              <w:t>Responsible person</w:t>
            </w:r>
            <w:bookmarkEnd w:id="37"/>
          </w:p>
        </w:tc>
        <w:tc>
          <w:tcPr>
            <w:tcW w:type="dxa" w:w="6803"/>
          </w:tcPr>
          <w:p>
            <w:r>
              <w:rPr>
                <w:b w:val="0"/>
                <w:i w:val="0"/>
              </w:rPr>
              <w:t>A director, partner, principal, chief financial officer or office manager of the Business, or, where the Business has none of these, its most senior officer.</w:t>
            </w:r>
          </w:p>
        </w:tc>
      </w:tr>
      <w:tr>
        <w:tc>
          <w:tcPr>
            <w:tcW w:type="dxa" w:w="2608"/>
          </w:tcPr>
          <w:p>
            <w:bookmarkStart w:id="38" w:name="c_bpk_def_retroactive_date"/>
            <w:r>
              <w:rPr>
                <w:b/>
                <w:i w:val="0"/>
              </w:rPr>
              <w:t>Retroactive date</w:t>
            </w:r>
            <w:bookmarkEnd w:id="38"/>
          </w:p>
        </w:tc>
        <w:tc>
          <w:tcPr>
            <w:tcW w:type="dxa" w:w="6803"/>
          </w:tcPr>
          <w:p>
            <w:r>
              <w:rPr>
                <w:b w:val="0"/>
                <w:i w:val="0"/>
              </w:rPr>
              <w:t xml:space="preserve">The date shown in the Schedule as the retroactive date for </w:t>
            </w:r>
            <w:hyperlink w:anchor="c_bpk_section_cyber">
              <w:r>
                <w:rPr>
                  <w:color w:val="2E5C4E"/>
                  <w:u w:val="single"/>
                </w:rPr>
                <w:t xml:space="preserve">the Cyber section</w:t>
              </w:r>
            </w:hyperlink>
            <w:r>
              <w:rPr>
                <w:b w:val="0"/>
                <w:i w:val="0"/>
              </w:rPr>
              <w:t xml:space="preserve"> or </w:t>
            </w:r>
            <w:hyperlink w:anchor="c_bpk_section_management_liability">
              <w:r>
                <w:rPr>
                  <w:color w:val="2E5C4E"/>
                  <w:u w:val="single"/>
                </w:rPr>
                <w:t xml:space="preserve">the Management Liability section</w:t>
              </w:r>
            </w:hyperlink>
            <w:r>
              <w:rPr>
                <w:b w:val="0"/>
                <w:i w:val="0"/>
              </w:rPr>
              <w:t>. Where no date is shown, it is the inception date of the first policy we issued to you that included that section, without a break in cover.</w:t>
            </w:r>
          </w:p>
        </w:tc>
      </w:tr>
      <w:tr>
        <w:tc>
          <w:tcPr>
            <w:tcW w:type="dxa" w:w="2608"/>
          </w:tcPr>
          <w:p>
            <w:bookmarkStart w:id="39" w:name="c_bpk_def_schedule"/>
            <w:r>
              <w:rPr>
                <w:b/>
                <w:i w:val="0"/>
              </w:rPr>
              <w:t>Schedule</w:t>
            </w:r>
            <w:bookmarkEnd w:id="39"/>
          </w:p>
        </w:tc>
        <w:tc>
          <w:tcPr>
            <w:tcW w:type="dxa" w:w="6803"/>
          </w:tcPr>
          <w:p>
            <w:r>
              <w:rPr>
                <w:b w:val="0"/>
                <w:i w:val="0"/>
              </w:rPr>
              <w:t>The schedule we issue for this Policy, as amended by any Endorsement.</w:t>
            </w:r>
          </w:p>
        </w:tc>
      </w:tr>
      <w:tr>
        <w:tc>
          <w:tcPr>
            <w:tcW w:type="dxa" w:w="2608"/>
          </w:tcPr>
          <w:p>
            <w:bookmarkStart w:id="40" w:name="c_bpk_def_single_loss"/>
            <w:r>
              <w:rPr>
                <w:b/>
                <w:i w:val="0"/>
              </w:rPr>
              <w:t>Single loss</w:t>
            </w:r>
            <w:bookmarkEnd w:id="40"/>
          </w:p>
        </w:tc>
        <w:tc>
          <w:tcPr>
            <w:tcW w:type="dxa" w:w="6803"/>
          </w:tcPr>
          <w:p>
            <w:r>
              <w:rPr>
                <w:b w:val="0"/>
                <w:i w:val="0"/>
              </w:rPr>
              <w:t>All loss resulting from the same, similar or related acts or events, or involving the same person or persons, whenever they occurred.</w:t>
            </w:r>
          </w:p>
        </w:tc>
      </w:tr>
      <w:tr>
        <w:tc>
          <w:tcPr>
            <w:tcW w:type="dxa" w:w="2608"/>
          </w:tcPr>
          <w:p>
            <w:bookmarkStart w:id="41" w:name="c_bpk_def_situation"/>
            <w:r>
              <w:rPr>
                <w:b/>
                <w:i w:val="0"/>
              </w:rPr>
              <w:t>Situation</w:t>
            </w:r>
            <w:bookmarkEnd w:id="41"/>
          </w:p>
        </w:tc>
        <w:tc>
          <w:tcPr>
            <w:tcW w:type="dxa" w:w="6803"/>
          </w:tcPr>
          <w:p>
            <w:r>
              <w:rPr>
                <w:b w:val="0"/>
                <w:i w:val="0"/>
              </w:rPr>
              <w:t>Each location shown in the Schedule.</w:t>
            </w:r>
          </w:p>
        </w:tc>
      </w:tr>
      <w:tr>
        <w:tc>
          <w:tcPr>
            <w:tcW w:type="dxa" w:w="2608"/>
          </w:tcPr>
          <w:p>
            <w:bookmarkStart w:id="42" w:name="c_bpk_def_stock"/>
            <w:r>
              <w:rPr>
                <w:b/>
                <w:i w:val="0"/>
              </w:rPr>
              <w:t>Stock</w:t>
            </w:r>
            <w:bookmarkEnd w:id="42"/>
          </w:p>
        </w:tc>
        <w:tc>
          <w:tcPr>
            <w:tcW w:type="dxa" w:w="6803"/>
          </w:tcPr>
          <w:p>
            <w:r>
              <w:rPr>
                <w:b w:val="0"/>
                <w:i w:val="0"/>
              </w:rPr>
              <w:t>Merchandise, raw materials, goods in process of manufacture, and finished goods that you own or are responsible for, at the Situation.</w:t>
            </w:r>
          </w:p>
        </w:tc>
      </w:tr>
      <w:tr>
        <w:tc>
          <w:tcPr>
            <w:tcW w:type="dxa" w:w="2608"/>
          </w:tcPr>
          <w:p>
            <w:bookmarkStart w:id="43" w:name="c_bpk_def_sum_insured"/>
            <w:r>
              <w:rPr>
                <w:b/>
                <w:i w:val="0"/>
              </w:rPr>
              <w:t>Sum insured</w:t>
            </w:r>
            <w:bookmarkEnd w:id="43"/>
          </w:p>
        </w:tc>
        <w:tc>
          <w:tcPr>
            <w:tcW w:type="dxa" w:w="6803"/>
          </w:tcPr>
          <w:p>
            <w:r>
              <w:rPr>
                <w:b w:val="0"/>
                <w:i w:val="0"/>
              </w:rPr>
              <w:t>The amount shown in the Schedule for an item of property or for a section.</w:t>
            </w:r>
          </w:p>
        </w:tc>
      </w:tr>
      <w:tr>
        <w:tc>
          <w:tcPr>
            <w:tcW w:type="dxa" w:w="2608"/>
          </w:tcPr>
          <w:p>
            <w:bookmarkStart w:id="44" w:name="c_bpk_def_theft"/>
            <w:r>
              <w:rPr>
                <w:b/>
                <w:i w:val="0"/>
              </w:rPr>
              <w:t>Theft</w:t>
            </w:r>
            <w:bookmarkEnd w:id="44"/>
          </w:p>
        </w:tc>
        <w:tc>
          <w:tcPr>
            <w:tcW w:type="dxa" w:w="6803"/>
          </w:tcPr>
          <w:p>
            <w:r>
              <w:rPr>
                <w:b w:val="0"/>
                <w:i w:val="0"/>
              </w:rPr>
              <w:t>Taking property without the owner's consent with the intention of permanently depriving the owner of it.</w:t>
            </w:r>
          </w:p>
        </w:tc>
      </w:tr>
      <w:tr>
        <w:tc>
          <w:tcPr>
            <w:tcW w:type="dxa" w:w="2608"/>
          </w:tcPr>
          <w:p>
            <w:bookmarkStart w:id="45" w:name="c_bpk_def_third_party"/>
            <w:r>
              <w:rPr>
                <w:b/>
                <w:i w:val="0"/>
              </w:rPr>
              <w:t>Third party</w:t>
            </w:r>
            <w:bookmarkEnd w:id="45"/>
          </w:p>
        </w:tc>
        <w:tc>
          <w:tcPr>
            <w:tcW w:type="dxa" w:w="6803"/>
          </w:tcPr>
          <w:p>
            <w:r>
              <w:rPr>
                <w:b w:val="0"/>
                <w:i w:val="0"/>
              </w:rPr>
              <w:t>A person other than you, a director or an Employee, acting without your collusion.</w:t>
            </w:r>
          </w:p>
        </w:tc>
      </w:tr>
      <w:tr>
        <w:tc>
          <w:tcPr>
            <w:tcW w:type="dxa" w:w="2608"/>
          </w:tcPr>
          <w:p>
            <w:bookmarkStart w:id="46" w:name="c_bpk_def_unauthorised_access"/>
            <w:r>
              <w:rPr>
                <w:b/>
                <w:i w:val="0"/>
              </w:rPr>
              <w:t>Unauthorised access</w:t>
            </w:r>
            <w:bookmarkEnd w:id="46"/>
          </w:p>
        </w:tc>
        <w:tc>
          <w:tcPr>
            <w:tcW w:type="dxa" w:w="6803"/>
          </w:tcPr>
          <w:p>
            <w:r>
              <w:rPr>
                <w:b w:val="0"/>
                <w:i w:val="0"/>
              </w:rPr>
              <w:t>Access to or use of your Computer system by a person without your authority, or by an authorised person beyond the authority given, including an Employee who exceeds their authority.</w:t>
            </w:r>
          </w:p>
        </w:tc>
      </w:tr>
      <w:tr>
        <w:tc>
          <w:tcPr>
            <w:tcW w:type="dxa" w:w="2608"/>
          </w:tcPr>
          <w:p>
            <w:bookmarkStart w:id="47" w:name="c_bpk_def_unoccupied"/>
            <w:r>
              <w:rPr>
                <w:b/>
                <w:i w:val="0"/>
              </w:rPr>
              <w:t>Unoccupied</w:t>
            </w:r>
            <w:bookmarkEnd w:id="47"/>
          </w:p>
        </w:tc>
        <w:tc>
          <w:tcPr>
            <w:tcW w:type="dxa" w:w="6803"/>
          </w:tcPr>
          <w:p>
            <w:r>
              <w:rPr>
                <w:b w:val="0"/>
                <w:i w:val="0"/>
              </w:rPr>
              <w:t>The Premises have not been attended by you or an Employee for more than the number of consecutive days shown in the Schedule.</w:t>
            </w:r>
          </w:p>
        </w:tc>
      </w:tr>
      <w:tr>
        <w:tc>
          <w:tcPr>
            <w:tcW w:type="dxa" w:w="2608"/>
          </w:tcPr>
          <w:p>
            <w:bookmarkStart w:id="48" w:name="c_bpk_def_we_us_our"/>
            <w:r>
              <w:rPr>
                <w:b/>
                <w:i w:val="0"/>
              </w:rPr>
              <w:t>We, us, our</w:t>
            </w:r>
            <w:bookmarkEnd w:id="48"/>
          </w:p>
        </w:tc>
        <w:tc>
          <w:tcPr>
            <w:tcW w:type="dxa" w:w="6803"/>
          </w:tcPr>
          <w:p>
            <w:r>
              <w:rPr>
                <w:b w:val="0"/>
                <w:i w:val="0"/>
              </w:rPr>
              <w:t>The insurer named in the Schedule.</w:t>
            </w:r>
          </w:p>
        </w:tc>
      </w:tr>
      <w:tr>
        <w:tc>
          <w:tcPr>
            <w:tcW w:type="dxa" w:w="2608"/>
          </w:tcPr>
          <w:p>
            <w:bookmarkStart w:id="49" w:name="c_bpk_def_wrongful_act"/>
            <w:r>
              <w:rPr>
                <w:b/>
                <w:i w:val="0"/>
              </w:rPr>
              <w:t>Wrongful act</w:t>
            </w:r>
            <w:bookmarkEnd w:id="49"/>
          </w:p>
        </w:tc>
        <w:tc>
          <w:tcPr>
            <w:tcW w:type="dxa" w:w="6803"/>
          </w:tcPr>
          <w:p>
            <w:r>
              <w:rPr>
                <w:b w:val="0"/>
                <w:i w:val="0"/>
              </w:rPr>
              <w:t>An actual or alleged breach of duty, breach of trust, neglect, error, misstatement, misleading statement, omission, or breach of warranty of authority by an insured in that capacity.</w:t>
            </w:r>
          </w:p>
        </w:tc>
      </w:tr>
      <w:tr>
        <w:tc>
          <w:tcPr>
            <w:tcW w:type="dxa" w:w="2608"/>
          </w:tcPr>
          <w:p>
            <w:bookmarkStart w:id="50" w:name="c_bpk_def_you_your"/>
            <w:r>
              <w:rPr>
                <w:b/>
                <w:i w:val="0"/>
              </w:rPr>
              <w:t>You, your</w:t>
            </w:r>
            <w:bookmarkEnd w:id="50"/>
          </w:p>
        </w:tc>
        <w:tc>
          <w:tcPr>
            <w:tcW w:type="dxa" w:w="6803"/>
          </w:tcPr>
          <w:p>
            <w:r>
              <w:rPr>
                <w:b w:val="0"/>
                <w:i w:val="0"/>
              </w:rPr>
              <w:t>The person or entity named in the Schedule as the insured, and any subsidiary named in the Schedule.</w:t>
            </w:r>
          </w:p>
        </w:tc>
      </w:tr>
      <w:tr>
        <w:tc>
          <w:tcPr>
            <w:tcW w:type="dxa" w:w="2608"/>
          </w:tcPr>
          <w:p>
            <w:bookmarkStart w:id="51" w:name="c_bpk_def_your_products"/>
            <w:r>
              <w:rPr>
                <w:b/>
                <w:i w:val="0"/>
              </w:rPr>
              <w:t>Your products</w:t>
            </w:r>
            <w:bookmarkEnd w:id="51"/>
          </w:p>
        </w:tc>
        <w:tc>
          <w:tcPr>
            <w:tcW w:type="dxa" w:w="6803"/>
          </w:tcPr>
          <w:p>
            <w:r>
              <w:rPr>
                <w:b w:val="0"/>
                <w:i w:val="0"/>
              </w:rPr>
              <w:t>Goods that you sell, supply, manufacture, install, repair, service or deliver, including their packaging and instructions.</w:t>
            </w:r>
          </w:p>
        </w:tc>
      </w:tr>
    </w:tbl>
    <w:p>
      <w:bookmarkStart w:id="52" w:name="c_bpk_section_general_exclusions"/>
      <w:r>
        <w:rPr>
          <w:rFonts w:ascii="Georgia" w:hAnsi="Georgia" w:eastAsia="Georgia"/>
          <w:b/>
          <w:i w:val="0"/>
          <w:color w:val="1C1915"/>
          <w:sz w:val="32"/>
        </w:rPr>
        <w:t>General Exclusions</w:t>
      </w:r>
      <w:bookmarkEnd w:id="52"/>
    </w:p>
    <w:p>
      <w:r>
        <w:rPr>
          <w:b w:val="0"/>
          <w:i w:val="0"/>
        </w:rPr>
        <w:t xml:space="preserve">These exclusions apply to every section unless the exclusion or a section says otherwise. </w:t>
      </w:r>
      <w:hyperlink w:anchor="c_bpk_appendix_exclusion_applicability">
        <w:r>
          <w:rPr>
            <w:color w:val="2E5C4E"/>
            <w:u w:val="single"/>
          </w:rPr>
          <w:t xml:space="preserve">The Exclusion Applicability Table</w:t>
        </w:r>
      </w:hyperlink>
      <w:r>
        <w:rPr>
          <w:b w:val="0"/>
          <w:i w:val="0"/>
        </w:rPr>
        <w:t xml:space="preserve"> shows which exclusions apply to which section; where it shows that an exclusion does not apply to a section, it does not apply to that section.</w:t>
      </w:r>
    </w:p>
    <w:p>
      <w:bookmarkStart w:id="53" w:name="c_bpk_excl_war"/>
      <w:r>
        <w:rPr>
          <w:rFonts w:ascii="Georgia" w:hAnsi="Georgia" w:eastAsia="Georgia"/>
          <w:b/>
          <w:i w:val="0"/>
          <w:color w:val="2E5C4E"/>
          <w:sz w:val="25"/>
        </w:rPr>
        <w:t>War</w:t>
      </w:r>
      <w:bookmarkEnd w:id="53"/>
    </w:p>
    <w:p>
      <w:r>
        <w:rPr>
          <w:b w:val="0"/>
          <w:i w:val="0"/>
        </w:rPr>
        <w:t xml:space="preserve">Loss, Damage, liability or cost caused by war, invasion, hostilities, civil war, rebellion, revolution, insurrection or military or usurped power. For </w:t>
      </w:r>
      <w:hyperlink w:anchor="c_bpk_section_cyber">
        <w:r>
          <w:rPr>
            <w:color w:val="2E5C4E"/>
            <w:u w:val="single"/>
          </w:rPr>
          <w:t xml:space="preserve">the Cyber section</w:t>
        </w:r>
      </w:hyperlink>
      <w:r>
        <w:rPr>
          <w:b w:val="0"/>
          <w:i w:val="0"/>
        </w:rPr>
        <w:t xml:space="preserve">, </w:t>
      </w:r>
      <w:hyperlink w:anchor="c_bpk_cyber_excl_war_and_state_cyber_ope">
        <w:r>
          <w:rPr>
            <w:color w:val="2E5C4E"/>
            <w:u w:val="single"/>
          </w:rPr>
          <w:t xml:space="preserve">the War and State Cyber Operations exclusion</w:t>
        </w:r>
      </w:hyperlink>
      <w:r>
        <w:rPr>
          <w:b w:val="0"/>
          <w:i w:val="0"/>
        </w:rPr>
        <w:t xml:space="preserve"> applies instead of this exclusion.</w:t>
      </w:r>
    </w:p>
    <w:p>
      <w:bookmarkStart w:id="54" w:name="c_bpk_excl_terrorism"/>
      <w:r>
        <w:rPr>
          <w:rFonts w:ascii="Georgia" w:hAnsi="Georgia" w:eastAsia="Georgia"/>
          <w:b/>
          <w:i w:val="0"/>
          <w:color w:val="2E5C4E"/>
          <w:sz w:val="25"/>
        </w:rPr>
        <w:t>Terrorism</w:t>
      </w:r>
      <w:bookmarkEnd w:id="54"/>
    </w:p>
    <w:p>
      <w:r>
        <w:rPr>
          <w:b w:val="0"/>
          <w:i w:val="0"/>
        </w:rPr>
        <w:t xml:space="preserve">Loss, Damage, liability or cost caused by an act of terrorism. For </w:t>
      </w:r>
      <w:hyperlink w:anchor="c_bpk_section_property_damage">
        <w:r>
          <w:rPr>
            <w:color w:val="2E5C4E"/>
            <w:u w:val="single"/>
          </w:rPr>
          <w:t xml:space="preserve">the Property Damage section</w:t>
        </w:r>
      </w:hyperlink>
      <w:r>
        <w:rPr>
          <w:b w:val="0"/>
          <w:i w:val="0"/>
        </w:rPr>
        <w:t xml:space="preserve"> and </w:t>
      </w:r>
      <w:hyperlink w:anchor="c_bpk_section_business_interruption">
        <w:r>
          <w:rPr>
            <w:color w:val="2E5C4E"/>
            <w:u w:val="single"/>
          </w:rPr>
          <w:t xml:space="preserve">the Business Interruption section</w:t>
        </w:r>
      </w:hyperlink>
      <w:r>
        <w:rPr>
          <w:b w:val="0"/>
          <w:i w:val="0"/>
        </w:rPr>
        <w:t>, this exclusion does not apply to the extent the Terrorism Insurance Act 2003 (Cth) provides that it has no effect for a declared terrorist incident.</w:t>
      </w:r>
    </w:p>
    <w:p>
      <w:bookmarkStart w:id="55" w:name="c_bpk_excl_nuclear"/>
      <w:r>
        <w:rPr>
          <w:rFonts w:ascii="Georgia" w:hAnsi="Georgia" w:eastAsia="Georgia"/>
          <w:b/>
          <w:i w:val="0"/>
          <w:color w:val="2E5C4E"/>
          <w:sz w:val="25"/>
        </w:rPr>
        <w:t>Nuclear</w:t>
      </w:r>
      <w:bookmarkEnd w:id="55"/>
    </w:p>
    <w:p>
      <w:r>
        <w:rPr>
          <w:b w:val="0"/>
          <w:i w:val="0"/>
        </w:rPr>
        <w:t>Loss, Damage, liability or cost caused by nuclear reaction, nuclear radiation or radioactive contamination.</w:t>
      </w:r>
    </w:p>
    <w:p>
      <w:bookmarkStart w:id="56" w:name="c_bpk_excl_asbestos"/>
      <w:r>
        <w:rPr>
          <w:rFonts w:ascii="Georgia" w:hAnsi="Georgia" w:eastAsia="Georgia"/>
          <w:b/>
          <w:i w:val="0"/>
          <w:color w:val="2E5C4E"/>
          <w:sz w:val="25"/>
        </w:rPr>
        <w:t>Asbestos</w:t>
      </w:r>
      <w:bookmarkEnd w:id="56"/>
    </w:p>
    <w:p>
      <w:r>
        <w:rPr>
          <w:b w:val="0"/>
          <w:i w:val="0"/>
        </w:rPr>
        <w:t>Loss, Damage, liability or cost arising from asbestos in any form.</w:t>
      </w:r>
    </w:p>
    <w:p>
      <w:bookmarkStart w:id="57" w:name="c_bpk_excl_mould"/>
      <w:r>
        <w:rPr>
          <w:rFonts w:ascii="Georgia" w:hAnsi="Georgia" w:eastAsia="Georgia"/>
          <w:b/>
          <w:i w:val="0"/>
          <w:color w:val="2E5C4E"/>
          <w:sz w:val="25"/>
        </w:rPr>
        <w:t>Mould</w:t>
      </w:r>
      <w:bookmarkEnd w:id="57"/>
    </w:p>
    <w:p>
      <w:r>
        <w:rPr>
          <w:b w:val="0"/>
          <w:i w:val="0"/>
        </w:rPr>
        <w:t xml:space="preserve">Mould, mildew or fungi, unless they result directly from an Insured event under </w:t>
      </w:r>
      <w:hyperlink w:anchor="c_bpk_section_property_damage">
        <w:r>
          <w:rPr>
            <w:color w:val="2E5C4E"/>
            <w:u w:val="single"/>
          </w:rPr>
          <w:t xml:space="preserve">the Property Damage section</w:t>
        </w:r>
      </w:hyperlink>
      <w:r>
        <w:rPr>
          <w:b w:val="0"/>
          <w:i w:val="0"/>
        </w:rPr>
        <w:t xml:space="preserve"> and are discovered within the number of hours after that event shown in the Schedule.</w:t>
      </w:r>
    </w:p>
    <w:p>
      <w:bookmarkStart w:id="58" w:name="c_bpk_excl_pollution"/>
      <w:r>
        <w:rPr>
          <w:rFonts w:ascii="Georgia" w:hAnsi="Georgia" w:eastAsia="Georgia"/>
          <w:b/>
          <w:i w:val="0"/>
          <w:color w:val="2E5C4E"/>
          <w:sz w:val="25"/>
        </w:rPr>
        <w:t>Pollution</w:t>
      </w:r>
      <w:bookmarkEnd w:id="58"/>
    </w:p>
    <w:p>
      <w:r>
        <w:rPr>
          <w:b w:val="0"/>
          <w:i w:val="0"/>
        </w:rPr>
        <w:t xml:space="preserve">Pollution or contamination, unless sudden, accidental and unintended and resulting directly from an Insured event. </w:t>
      </w:r>
      <w:hyperlink w:anchor="c_bpk_liability_excl_pollution">
        <w:r>
          <w:rPr>
            <w:color w:val="2E5C4E"/>
            <w:u w:val="single"/>
          </w:rPr>
          <w:t xml:space="preserve">The Pollution (Liability) exclusion</w:t>
        </w:r>
      </w:hyperlink>
      <w:r>
        <w:rPr>
          <w:b w:val="0"/>
          <w:i w:val="0"/>
        </w:rPr>
        <w:t xml:space="preserve"> applies to </w:t>
      </w:r>
      <w:hyperlink w:anchor="c_bpk_section_liability">
        <w:r>
          <w:rPr>
            <w:color w:val="2E5C4E"/>
            <w:u w:val="single"/>
          </w:rPr>
          <w:t xml:space="preserve">the Public and Products Liability section</w:t>
        </w:r>
      </w:hyperlink>
      <w:r>
        <w:rPr>
          <w:b w:val="0"/>
          <w:i w:val="0"/>
        </w:rPr>
        <w:t xml:space="preserve"> instead of this exclusion.</w:t>
      </w:r>
    </w:p>
    <w:p>
      <w:bookmarkStart w:id="59" w:name="c_bpk_excl_electronic_data"/>
      <w:r>
        <w:rPr>
          <w:rFonts w:ascii="Georgia" w:hAnsi="Georgia" w:eastAsia="Georgia"/>
          <w:b/>
          <w:i w:val="0"/>
          <w:color w:val="2E5C4E"/>
          <w:sz w:val="25"/>
        </w:rPr>
        <w:t>Electronic Data</w:t>
      </w:r>
      <w:bookmarkEnd w:id="59"/>
    </w:p>
    <w:p>
      <w:r>
        <w:rPr>
          <w:b w:val="0"/>
          <w:i w:val="0"/>
        </w:rPr>
        <w:t xml:space="preserve">Loss of, or Damage to, electronic data or software, except as covered under </w:t>
      </w:r>
      <w:hyperlink w:anchor="c_bpk_section_property_damage">
        <w:r>
          <w:rPr>
            <w:color w:val="2E5C4E"/>
            <w:u w:val="single"/>
          </w:rPr>
          <w:t xml:space="preserve">the Property Damage section</w:t>
        </w:r>
      </w:hyperlink>
      <w:r>
        <w:rPr>
          <w:b w:val="0"/>
          <w:i w:val="0"/>
        </w:rPr>
        <w:t xml:space="preserve"> (rewriting of records), </w:t>
      </w:r>
      <w:hyperlink w:anchor="c_bpk_section_business_interruption">
        <w:r>
          <w:rPr>
            <w:color w:val="2E5C4E"/>
            <w:u w:val="single"/>
          </w:rPr>
          <w:t xml:space="preserve">the Business Interruption section</w:t>
        </w:r>
      </w:hyperlink>
      <w:r>
        <w:rPr>
          <w:b w:val="0"/>
          <w:i w:val="0"/>
        </w:rPr>
        <w:t xml:space="preserve"> (to the extent the interruption follows Damage covered under </w:t>
      </w:r>
      <w:hyperlink w:anchor="c_bpk_section_property_damage">
        <w:r>
          <w:rPr>
            <w:color w:val="2E5C4E"/>
            <w:u w:val="single"/>
          </w:rPr>
          <w:t xml:space="preserve">Property Damage</w:t>
        </w:r>
      </w:hyperlink>
      <w:r>
        <w:rPr>
          <w:b w:val="0"/>
          <w:i w:val="0"/>
        </w:rPr>
        <w:t xml:space="preserve">), </w:t>
      </w:r>
      <w:hyperlink w:anchor="c_bpk_section_equipment">
        <w:r>
          <w:rPr>
            <w:color w:val="2E5C4E"/>
            <w:u w:val="single"/>
          </w:rPr>
          <w:t xml:space="preserve">the Equipment Damage section</w:t>
        </w:r>
      </w:hyperlink>
      <w:r>
        <w:rPr>
          <w:b w:val="0"/>
          <w:i w:val="0"/>
        </w:rPr>
        <w:t xml:space="preserve"> (data restoration) and </w:t>
      </w:r>
      <w:hyperlink w:anchor="c_bpk_section_cyber">
        <w:r>
          <w:rPr>
            <w:color w:val="2E5C4E"/>
            <w:u w:val="single"/>
          </w:rPr>
          <w:t xml:space="preserve">the Cyber section</w:t>
        </w:r>
      </w:hyperlink>
      <w:r>
        <w:rPr>
          <w:b w:val="0"/>
          <w:i w:val="0"/>
        </w:rPr>
        <w:t>.</w:t>
      </w:r>
    </w:p>
    <w:p>
      <w:bookmarkStart w:id="60" w:name="c_bpk_excl_cyber"/>
      <w:r>
        <w:rPr>
          <w:rFonts w:ascii="Georgia" w:hAnsi="Georgia" w:eastAsia="Georgia"/>
          <w:b/>
          <w:i w:val="0"/>
          <w:color w:val="2E5C4E"/>
          <w:sz w:val="25"/>
        </w:rPr>
        <w:t>Cyber</w:t>
      </w:r>
      <w:bookmarkEnd w:id="60"/>
    </w:p>
    <w:p>
      <w:r>
        <w:rPr>
          <w:b w:val="0"/>
          <w:i w:val="0"/>
        </w:rPr>
        <w:t>Loss, Damage, liability or cost caused by a Cyber event. This exclusion does not apply to:</w:t>
      </w:r>
    </w:p>
    <w:p>
      <w:pPr>
        <w:pStyle w:val="ListBullet"/>
      </w:pPr>
      <w:r>
        <w:rPr>
          <w:b w:val="0"/>
          <w:i w:val="0"/>
        </w:rPr>
        <w:t>physical Damage to insured property caused by fire or explosion resulting from a Cyber event;</w:t>
      </w:r>
    </w:p>
    <w:p>
      <w:pPr>
        <w:pStyle w:val="ListBullet"/>
      </w:pPr>
      <w:r>
        <w:rPr>
          <w:b w:val="0"/>
          <w:i w:val="0"/>
        </w:rPr>
        <w:t xml:space="preserve">Damage to plant, machinery or electronic equipment caused by Breakdown that </w:t>
      </w:r>
      <w:hyperlink w:anchor="c_bpk_equipment_cover">
        <w:r>
          <w:rPr>
            <w:color w:val="2E5C4E"/>
            <w:u w:val="single"/>
          </w:rPr>
          <w:t xml:space="preserve">the Equipment Breakdown and Damage clause</w:t>
        </w:r>
      </w:hyperlink>
      <w:r>
        <w:rPr>
          <w:b w:val="0"/>
          <w:i w:val="0"/>
        </w:rPr>
        <w:t xml:space="preserve"> covers, even where the Breakdown results from a human error or system failure affecting your Computer system;</w:t>
      </w:r>
    </w:p>
    <w:p>
      <w:pPr>
        <w:pStyle w:val="ListBullet"/>
      </w:pPr>
      <w:hyperlink w:anchor="c_bpk_crime_cover_computer_fraud">
        <w:r>
          <w:rPr>
            <w:color w:val="2E5C4E"/>
            <w:u w:val="single"/>
          </w:rPr>
          <w:t xml:space="preserve">the Computer Fraud clause</w:t>
        </w:r>
      </w:hyperlink>
      <w:r>
        <w:rPr>
          <w:b w:val="0"/>
          <w:i w:val="0"/>
        </w:rPr>
        <w:t xml:space="preserve"> or </w:t>
      </w:r>
      <w:hyperlink w:anchor="c_bpk_crime_cover_social_engineering_fra">
        <w:r>
          <w:rPr>
            <w:color w:val="2E5C4E"/>
            <w:u w:val="single"/>
          </w:rPr>
          <w:t xml:space="preserve">the Social Engineering Fraud clause</w:t>
        </w:r>
      </w:hyperlink>
      <w:r>
        <w:rPr>
          <w:b w:val="0"/>
          <w:i w:val="0"/>
        </w:rPr>
        <w:t>;</w:t>
      </w:r>
    </w:p>
    <w:p>
      <w:pPr>
        <w:pStyle w:val="ListBullet"/>
      </w:pPr>
      <w:hyperlink w:anchor="c_bpk_section_liability">
        <w:r>
          <w:rPr>
            <w:color w:val="2E5C4E"/>
            <w:u w:val="single"/>
          </w:rPr>
          <w:t xml:space="preserve">the Public and Products Liability section</w:t>
        </w:r>
      </w:hyperlink>
      <w:r>
        <w:rPr>
          <w:b w:val="0"/>
          <w:i w:val="0"/>
        </w:rPr>
        <w:t>;</w:t>
      </w:r>
    </w:p>
    <w:p>
      <w:pPr>
        <w:pStyle w:val="ListBullet"/>
      </w:pPr>
      <w:hyperlink w:anchor="c_bpk_section_cyber">
        <w:r>
          <w:rPr>
            <w:color w:val="2E5C4E"/>
            <w:u w:val="single"/>
          </w:rPr>
          <w:t xml:space="preserve">the Cyber section</w:t>
        </w:r>
      </w:hyperlink>
      <w:r>
        <w:rPr>
          <w:b w:val="0"/>
          <w:i w:val="0"/>
        </w:rPr>
        <w:t>; or</w:t>
      </w:r>
    </w:p>
    <w:p>
      <w:pPr>
        <w:pStyle w:val="ListBullet"/>
      </w:pPr>
      <w:hyperlink w:anchor="c_bpk_section_management_liability">
        <w:r>
          <w:rPr>
            <w:color w:val="2E5C4E"/>
            <w:u w:val="single"/>
          </w:rPr>
          <w:t xml:space="preserve">the Management Liability section</w:t>
        </w:r>
      </w:hyperlink>
      <w:r>
        <w:rPr>
          <w:b w:val="0"/>
          <w:i w:val="0"/>
        </w:rPr>
        <w:t>.</w:t>
      </w:r>
    </w:p>
    <w:p>
      <w:bookmarkStart w:id="61" w:name="c_bpk_excl_gradual_causes"/>
      <w:r>
        <w:rPr>
          <w:rFonts w:ascii="Georgia" w:hAnsi="Georgia" w:eastAsia="Georgia"/>
          <w:b/>
          <w:i w:val="0"/>
          <w:color w:val="2E5C4E"/>
          <w:sz w:val="25"/>
        </w:rPr>
        <w:t>Gradual Causes</w:t>
      </w:r>
      <w:bookmarkEnd w:id="61"/>
    </w:p>
    <w:p>
      <w:r>
        <w:rPr>
          <w:b w:val="0"/>
          <w:i w:val="0"/>
        </w:rPr>
        <w:t>Wear and tear, gradual deterioration, rust, oxidation, corrosion or inherent vice. This exclusion does not apply to resulting Damage from a sudden Insured event.</w:t>
      </w:r>
    </w:p>
    <w:p>
      <w:bookmarkStart w:id="62" w:name="c_bpk_excl_deliberate_acts"/>
      <w:r>
        <w:rPr>
          <w:rFonts w:ascii="Georgia" w:hAnsi="Georgia" w:eastAsia="Georgia"/>
          <w:b/>
          <w:i w:val="0"/>
          <w:color w:val="2E5C4E"/>
          <w:sz w:val="25"/>
        </w:rPr>
        <w:t>Deliberate Acts</w:t>
      </w:r>
      <w:bookmarkEnd w:id="62"/>
    </w:p>
    <w:p>
      <w:r>
        <w:rPr>
          <w:b w:val="0"/>
          <w:i w:val="0"/>
        </w:rPr>
        <w:t xml:space="preserve">Loss or Damage that you deliberately cause or allow. For </w:t>
      </w:r>
      <w:hyperlink w:anchor="c_bpk_section_crime">
        <w:r>
          <w:rPr>
            <w:color w:val="2E5C4E"/>
            <w:u w:val="single"/>
          </w:rPr>
          <w:t xml:space="preserve">the Comprehensive Crime section</w:t>
        </w:r>
      </w:hyperlink>
      <w:r>
        <w:rPr>
          <w:b w:val="0"/>
          <w:i w:val="0"/>
        </w:rPr>
        <w:t xml:space="preserve">, this exclusion applies to the acts of you and your directors only, not to a Dishonest act of an Employee covered under </w:t>
      </w:r>
      <w:hyperlink w:anchor="c_bpk_crime_cover_employee_dishonesty">
        <w:r>
          <w:rPr>
            <w:color w:val="2E5C4E"/>
            <w:u w:val="single"/>
          </w:rPr>
          <w:t xml:space="preserve">the Employee Dishonesty clause</w:t>
        </w:r>
      </w:hyperlink>
      <w:r>
        <w:rPr>
          <w:b w:val="0"/>
          <w:i w:val="0"/>
        </w:rPr>
        <w:t xml:space="preserve">. For </w:t>
      </w:r>
      <w:hyperlink w:anchor="c_bpk_section_management_liability">
        <w:r>
          <w:rPr>
            <w:color w:val="2E5C4E"/>
            <w:u w:val="single"/>
          </w:rPr>
          <w:t xml:space="preserve">the Management Liability section</w:t>
        </w:r>
      </w:hyperlink>
      <w:r>
        <w:rPr>
          <w:b w:val="0"/>
          <w:i w:val="0"/>
        </w:rPr>
        <w:t xml:space="preserve">, </w:t>
      </w:r>
      <w:hyperlink w:anchor="c_bpk_ml_conduct">
        <w:r>
          <w:rPr>
            <w:color w:val="2E5C4E"/>
            <w:u w:val="single"/>
          </w:rPr>
          <w:t xml:space="preserve">the Conduct exclusion</w:t>
        </w:r>
      </w:hyperlink>
      <w:r>
        <w:rPr>
          <w:b w:val="0"/>
          <w:i w:val="0"/>
        </w:rPr>
        <w:t xml:space="preserve"> applies instead of this exclusion.</w:t>
      </w:r>
    </w:p>
    <w:p>
      <w:bookmarkStart w:id="63" w:name="c_bpk_excl_unoccupied_premises"/>
      <w:r>
        <w:rPr>
          <w:rFonts w:ascii="Georgia" w:hAnsi="Georgia" w:eastAsia="Georgia"/>
          <w:b/>
          <w:i w:val="0"/>
          <w:color w:val="2E5C4E"/>
          <w:sz w:val="25"/>
        </w:rPr>
        <w:t>Unoccupied Premises</w:t>
      </w:r>
      <w:bookmarkEnd w:id="63"/>
    </w:p>
    <w:p>
      <w:r>
        <w:rPr>
          <w:b w:val="0"/>
          <w:i w:val="0"/>
        </w:rPr>
        <w:t xml:space="preserve">Loss or Damage at Premises that are Unoccupied when the loss occurs, unless we have agreed in writing to continue cover. This exclusion does not apply where the Premises are partly occupied, or to </w:t>
      </w:r>
      <w:hyperlink w:anchor="c_bpk_section_liability">
        <w:r>
          <w:rPr>
            <w:color w:val="2E5C4E"/>
            <w:u w:val="single"/>
          </w:rPr>
          <w:t xml:space="preserve">the Public and Products Liability section</w:t>
        </w:r>
      </w:hyperlink>
      <w:r>
        <w:rPr>
          <w:b w:val="0"/>
          <w:i w:val="0"/>
        </w:rPr>
        <w:t xml:space="preserve">, </w:t>
      </w:r>
      <w:hyperlink w:anchor="c_bpk_section_tax_audit">
        <w:r>
          <w:rPr>
            <w:color w:val="2E5C4E"/>
            <w:u w:val="single"/>
          </w:rPr>
          <w:t xml:space="preserve">the Tax Audit section</w:t>
        </w:r>
      </w:hyperlink>
      <w:r>
        <w:rPr>
          <w:b w:val="0"/>
          <w:i w:val="0"/>
        </w:rPr>
        <w:t xml:space="preserve">, </w:t>
      </w:r>
      <w:hyperlink w:anchor="c_bpk_section_cyber">
        <w:r>
          <w:rPr>
            <w:color w:val="2E5C4E"/>
            <w:u w:val="single"/>
          </w:rPr>
          <w:t xml:space="preserve">the Cyber section</w:t>
        </w:r>
      </w:hyperlink>
      <w:r>
        <w:rPr>
          <w:b w:val="0"/>
          <w:i w:val="0"/>
        </w:rPr>
        <w:t xml:space="preserve"> or </w:t>
      </w:r>
      <w:hyperlink w:anchor="c_bpk_section_management_liability">
        <w:r>
          <w:rPr>
            <w:color w:val="2E5C4E"/>
            <w:u w:val="single"/>
          </w:rPr>
          <w:t xml:space="preserve">the Management Liability section</w:t>
        </w:r>
      </w:hyperlink>
      <w:r>
        <w:rPr>
          <w:b w:val="0"/>
          <w:i w:val="0"/>
        </w:rPr>
        <w:t>.</w:t>
      </w:r>
    </w:p>
    <w:p>
      <w:bookmarkStart w:id="64" w:name="c_bpk_excl_known_defects"/>
      <w:r>
        <w:rPr>
          <w:rFonts w:ascii="Georgia" w:hAnsi="Georgia" w:eastAsia="Georgia"/>
          <w:b/>
          <w:i w:val="0"/>
          <w:color w:val="2E5C4E"/>
          <w:sz w:val="25"/>
        </w:rPr>
        <w:t>Known Defects</w:t>
      </w:r>
      <w:bookmarkEnd w:id="64"/>
    </w:p>
    <w:p>
      <w:r>
        <w:rPr>
          <w:b w:val="0"/>
          <w:i w:val="0"/>
        </w:rPr>
        <w:t xml:space="preserve">Loss or Damage caused by a Defect that a member of the Control group knew about before the Period of Insurance started, or that a reasonable person in that member's position would have known about. This exclusion does not apply to </w:t>
      </w:r>
      <w:hyperlink w:anchor="c_bpk_section_liability">
        <w:r>
          <w:rPr>
            <w:color w:val="2E5C4E"/>
            <w:u w:val="single"/>
          </w:rPr>
          <w:t xml:space="preserve">the Public and Products Liability section</w:t>
        </w:r>
      </w:hyperlink>
      <w:r>
        <w:rPr>
          <w:b w:val="0"/>
          <w:i w:val="0"/>
        </w:rPr>
        <w:t>.</w:t>
      </w:r>
    </w:p>
    <w:p>
      <w:bookmarkStart w:id="65" w:name="c_bpk_excl_confiscation"/>
      <w:r>
        <w:rPr>
          <w:rFonts w:ascii="Georgia" w:hAnsi="Georgia" w:eastAsia="Georgia"/>
          <w:b/>
          <w:i w:val="0"/>
          <w:color w:val="2E5C4E"/>
          <w:sz w:val="25"/>
        </w:rPr>
        <w:t>Confiscation</w:t>
      </w:r>
      <w:bookmarkEnd w:id="65"/>
    </w:p>
    <w:p>
      <w:r>
        <w:rPr>
          <w:b w:val="0"/>
          <w:i w:val="0"/>
        </w:rPr>
        <w:t>Confiscation, nationalisation or requisition by a public authority, except destruction ordered to prevent the spread of fire.</w:t>
      </w:r>
    </w:p>
    <w:p>
      <w:bookmarkStart w:id="66" w:name="c_bpk_excl_consequential_loss"/>
      <w:r>
        <w:rPr>
          <w:rFonts w:ascii="Georgia" w:hAnsi="Georgia" w:eastAsia="Georgia"/>
          <w:b/>
          <w:i w:val="0"/>
          <w:color w:val="2E5C4E"/>
          <w:sz w:val="25"/>
        </w:rPr>
        <w:t>Consequential Loss</w:t>
      </w:r>
      <w:bookmarkEnd w:id="66"/>
    </w:p>
    <w:p>
      <w:r>
        <w:rPr>
          <w:b w:val="0"/>
          <w:i w:val="0"/>
        </w:rPr>
        <w:t xml:space="preserve">Consequential loss of any kind, except as covered under </w:t>
      </w:r>
      <w:hyperlink w:anchor="c_bpk_section_business_interruption">
        <w:r>
          <w:rPr>
            <w:color w:val="2E5C4E"/>
            <w:u w:val="single"/>
          </w:rPr>
          <w:t xml:space="preserve">the Business Interruption section</w:t>
        </w:r>
      </w:hyperlink>
      <w:r>
        <w:rPr>
          <w:b w:val="0"/>
          <w:i w:val="0"/>
        </w:rPr>
        <w:t xml:space="preserve">, </w:t>
      </w:r>
      <w:hyperlink w:anchor="c_bpk_section_liability">
        <w:r>
          <w:rPr>
            <w:color w:val="2E5C4E"/>
            <w:u w:val="single"/>
          </w:rPr>
          <w:t xml:space="preserve">the Public and Products Liability section</w:t>
        </w:r>
      </w:hyperlink>
      <w:r>
        <w:rPr>
          <w:b w:val="0"/>
          <w:i w:val="0"/>
        </w:rPr>
        <w:t xml:space="preserve">, </w:t>
      </w:r>
      <w:hyperlink w:anchor="c_bpk_section_cyber">
        <w:r>
          <w:rPr>
            <w:color w:val="2E5C4E"/>
            <w:u w:val="single"/>
          </w:rPr>
          <w:t xml:space="preserve">the Cyber section</w:t>
        </w:r>
      </w:hyperlink>
      <w:r>
        <w:rPr>
          <w:b w:val="0"/>
          <w:i w:val="0"/>
        </w:rPr>
        <w:t xml:space="preserve"> and </w:t>
      </w:r>
      <w:hyperlink w:anchor="c_bpk_section_management_liability">
        <w:r>
          <w:rPr>
            <w:color w:val="2E5C4E"/>
            <w:u w:val="single"/>
          </w:rPr>
          <w:t xml:space="preserve">the Management Liability section</w:t>
        </w:r>
      </w:hyperlink>
      <w:r>
        <w:rPr>
          <w:b w:val="0"/>
          <w:i w:val="0"/>
        </w:rPr>
        <w:t>.</w:t>
      </w:r>
    </w:p>
    <w:p>
      <w:bookmarkStart w:id="67" w:name="c_bpk_section_general_conditions"/>
      <w:r>
        <w:rPr>
          <w:rFonts w:ascii="Georgia" w:hAnsi="Georgia" w:eastAsia="Georgia"/>
          <w:b/>
          <w:i w:val="0"/>
          <w:color w:val="1C1915"/>
          <w:sz w:val="32"/>
        </w:rPr>
        <w:t>General Conditions</w:t>
      </w:r>
      <w:bookmarkEnd w:id="67"/>
    </w:p>
    <w:p>
      <w:r>
        <w:rPr>
          <w:b w:val="0"/>
          <w:i w:val="0"/>
        </w:rPr>
        <w:t>These conditions apply to every section.</w:t>
      </w:r>
    </w:p>
    <w:p>
      <w:bookmarkStart w:id="68" w:name="c_bpk_cond_insurance_contracts_act"/>
      <w:r>
        <w:rPr>
          <w:rFonts w:ascii="Georgia" w:hAnsi="Georgia" w:eastAsia="Georgia"/>
          <w:b/>
          <w:i w:val="0"/>
          <w:color w:val="2E5C4E"/>
          <w:sz w:val="25"/>
        </w:rPr>
        <w:t>Insurance Contracts Act 1984 (Cth)</w:t>
      </w:r>
      <w:bookmarkEnd w:id="68"/>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69" w:name="c_bpk_cond_duty_of_disclosure"/>
      <w:r>
        <w:rPr>
          <w:rFonts w:ascii="Georgia" w:hAnsi="Georgia" w:eastAsia="Georgia"/>
          <w:b/>
          <w:i w:val="0"/>
          <w:color w:val="2E5C4E"/>
          <w:sz w:val="25"/>
        </w:rPr>
        <w:t>Duty of Disclosure</w:t>
      </w:r>
      <w:bookmarkEnd w:id="69"/>
    </w:p>
    <w:p>
      <w:r>
        <w:rPr>
          <w:b w:val="0"/>
          <w:i w:val="0"/>
        </w:rPr>
        <w:t>Before you enter into, renew, extend, vary or reinstate this Policy, you have a duty under s 21 of the Insurance Contracts Act 1984 (Cth) to tell us everything you know, or that a reasonable person in the circumstances could be expected to know, that is relevant to our decision whether to insure you and on what terms. You do not need to tell us anything that reduces the risk, that is common knowledge, that we know or should know in the ordinary course of our business, or that we tell you we do not need to know.</w:t>
      </w:r>
    </w:p>
    <w:p>
      <w:r>
        <w:rPr>
          <w:b w:val="0"/>
          <w:i w:val="0"/>
        </w:rPr>
        <w:t>If you do not comply with this duty, our remedies are limited to those in ss 26 to 28 of that Act. We may avoid this Policy only where the non-disclosure or misrepresentation was fraudulent.</w:t>
      </w:r>
    </w:p>
    <w:p>
      <w:r>
        <w:rPr>
          <w:b w:val="0"/>
          <w:i w:val="0"/>
        </w:rPr>
        <w:t xml:space="preserve">For </w:t>
      </w:r>
      <w:hyperlink w:anchor="c_bpk_section_management_liability">
        <w:r>
          <w:rPr>
            <w:color w:val="2E5C4E"/>
            <w:u w:val="single"/>
          </w:rPr>
          <w:t xml:space="preserve">the Management Liability section</w:t>
        </w:r>
      </w:hyperlink>
      <w:r>
        <w:rPr>
          <w:b w:val="0"/>
          <w:i w:val="0"/>
        </w:rPr>
        <w:t>, as between us and each Insured person, we assess the knowledge and disclosure of each Insured person separately. We will not reduce our liability to an Insured person under s 28(3) of that Act because of another person's non-disclosure or misrepresentation that the Insured person did not know about.</w:t>
      </w:r>
    </w:p>
    <w:p>
      <w:bookmarkStart w:id="70" w:name="c_bpk_cond_premium"/>
      <w:r>
        <w:rPr>
          <w:rFonts w:ascii="Georgia" w:hAnsi="Georgia" w:eastAsia="Georgia"/>
          <w:b/>
          <w:i w:val="0"/>
          <w:color w:val="2E5C4E"/>
          <w:sz w:val="25"/>
        </w:rPr>
        <w:t>Premium</w:t>
      </w:r>
      <w:bookmarkEnd w:id="70"/>
    </w:p>
    <w:p>
      <w:r>
        <w:rPr>
          <w:b w:val="0"/>
          <w:i w:val="0"/>
        </w:rPr>
        <w:t xml:space="preserve">You must pay the premium by the date shown on our invoice. If the premium is not paid, we may cancel this Policy under </w:t>
      </w:r>
      <w:hyperlink w:anchor="c_bpk_cond_cancellation">
        <w:r>
          <w:rPr>
            <w:color w:val="2E5C4E"/>
            <w:u w:val="single"/>
          </w:rPr>
          <w:t xml:space="preserve">the Cancellation condition</w:t>
        </w:r>
      </w:hyperlink>
      <w:r>
        <w:rPr>
          <w:b w:val="0"/>
          <w:i w:val="0"/>
        </w:rPr>
        <w:t>.</w:t>
      </w:r>
    </w:p>
    <w:p>
      <w:bookmarkStart w:id="71" w:name="c_bpk_cond_cancellation"/>
      <w:r>
        <w:rPr>
          <w:rFonts w:ascii="Georgia" w:hAnsi="Georgia" w:eastAsia="Georgia"/>
          <w:b/>
          <w:i w:val="0"/>
          <w:color w:val="2E5C4E"/>
          <w:sz w:val="25"/>
        </w:rPr>
        <w:t>Cancellation</w:t>
      </w:r>
      <w:bookmarkEnd w:id="71"/>
    </w:p>
    <w:p>
      <w:r>
        <w:rPr>
          <w:b w:val="0"/>
          <w:i w:val="0"/>
        </w:rPr>
        <w:t>You may cancel this Policy at any time by telling us. We refund the premium for the unexpired Period of Insurance on a pro-rata basis, less any non-refundable government charges. If we have paid a total loss of insured property, no refund applies to that item.</w:t>
      </w:r>
    </w:p>
    <w:p>
      <w:r>
        <w:rPr>
          <w:b w:val="0"/>
          <w:i w:val="0"/>
        </w:rPr>
        <w:t>We may cancel this Policy only as the Insurance Contracts Act 1984 (Cth) allows, by giving you written notice as that Act requires. We refund the premium for the unexpired period on a pro-rata basis.</w:t>
      </w:r>
    </w:p>
    <w:p>
      <w:r>
        <w:rPr>
          <w:b w:val="0"/>
          <w:i w:val="0"/>
        </w:rPr>
        <w:t>Cancellation does not affect any claim, Claim, Audit notice or circumstance notified to us before cancellation takes effect.</w:t>
      </w:r>
    </w:p>
    <w:p>
      <w:bookmarkStart w:id="72" w:name="c_bpk_cond_making_a_claim"/>
      <w:r>
        <w:rPr>
          <w:rFonts w:ascii="Georgia" w:hAnsi="Georgia" w:eastAsia="Georgia"/>
          <w:b/>
          <w:i w:val="0"/>
          <w:color w:val="2E5C4E"/>
          <w:sz w:val="25"/>
        </w:rPr>
        <w:t>Making a Claim</w:t>
      </w:r>
      <w:bookmarkEnd w:id="72"/>
    </w:p>
    <w:p>
      <w:r>
        <w:rPr>
          <w:b w:val="0"/>
          <w:i w:val="0"/>
        </w:rPr>
        <w:t>When you become aware of loss, Damage, a Claim, an Audit notice or a circumstance that may give rise to a claim under this Policy, you must:</w:t>
      </w:r>
    </w:p>
    <w:p>
      <w:pPr>
        <w:pStyle w:val="ListBullet"/>
      </w:pPr>
      <w:r>
        <w:rPr>
          <w:b w:val="0"/>
          <w:i w:val="0"/>
        </w:rPr>
        <w:t>tell us as soon as reasonably practicable, and report theft, malicious damage or a Cyber event involving a crime to the police;</w:t>
      </w:r>
    </w:p>
    <w:p>
      <w:pPr>
        <w:pStyle w:val="ListBullet"/>
      </w:pPr>
      <w:r>
        <w:rPr>
          <w:b w:val="0"/>
          <w:i w:val="0"/>
        </w:rPr>
        <w:t>take reasonable steps to prevent further loss;</w:t>
      </w:r>
    </w:p>
    <w:p>
      <w:pPr>
        <w:pStyle w:val="ListBullet"/>
      </w:pPr>
      <w:r>
        <w:rPr>
          <w:b w:val="0"/>
          <w:i w:val="0"/>
        </w:rPr>
        <w:t>give us the information and assistance we reasonably ask for;</w:t>
      </w:r>
    </w:p>
    <w:p>
      <w:pPr>
        <w:pStyle w:val="ListBullet"/>
      </w:pPr>
      <w:r>
        <w:rPr>
          <w:b w:val="0"/>
          <w:i w:val="0"/>
        </w:rPr>
        <w:t xml:space="preserve">not admit liability, settle or make any payment for a claim against you under </w:t>
      </w:r>
      <w:hyperlink w:anchor="c_bpk_section_liability">
        <w:r>
          <w:rPr>
            <w:color w:val="2E5C4E"/>
            <w:u w:val="single"/>
          </w:rPr>
          <w:t xml:space="preserve">the Public and Products Liability section</w:t>
        </w:r>
      </w:hyperlink>
      <w:r>
        <w:rPr>
          <w:b w:val="0"/>
          <w:i w:val="0"/>
        </w:rPr>
        <w:t xml:space="preserve">, </w:t>
      </w:r>
      <w:hyperlink w:anchor="c_bpk_section_cyber">
        <w:r>
          <w:rPr>
            <w:color w:val="2E5C4E"/>
            <w:u w:val="single"/>
          </w:rPr>
          <w:t xml:space="preserve">the Cyber section</w:t>
        </w:r>
      </w:hyperlink>
      <w:r>
        <w:rPr>
          <w:b w:val="0"/>
          <w:i w:val="0"/>
        </w:rPr>
        <w:t xml:space="preserve"> or </w:t>
      </w:r>
      <w:hyperlink w:anchor="c_bpk_section_management_liability">
        <w:r>
          <w:rPr>
            <w:color w:val="2E5C4E"/>
            <w:u w:val="single"/>
          </w:rPr>
          <w:t xml:space="preserve">the Management Liability section</w:t>
        </w:r>
      </w:hyperlink>
      <w:r>
        <w:rPr>
          <w:b w:val="0"/>
          <w:i w:val="0"/>
        </w:rPr>
        <w:t xml:space="preserve"> without our written agreement, which we will not unreasonably withhold; and</w:t>
      </w:r>
    </w:p>
    <w:p>
      <w:pPr>
        <w:pStyle w:val="ListBullet"/>
      </w:pPr>
      <w:r>
        <w:rPr>
          <w:b w:val="0"/>
          <w:i w:val="0"/>
        </w:rPr>
        <w:t>keep damaged property for our inspection where it is reasonable to do so.</w:t>
      </w:r>
    </w:p>
    <w:p>
      <w:hyperlink w:anchor="c_bpk_cond_insurance_contracts_act">
        <w:r>
          <w:rPr>
            <w:color w:val="2E5C4E"/>
            <w:u w:val="single"/>
          </w:rPr>
          <w:t xml:space="preserve">The Insurance Contracts Act 1984 (Cth) condition</w:t>
        </w:r>
      </w:hyperlink>
      <w:r>
        <w:rPr>
          <w:b w:val="0"/>
          <w:i w:val="0"/>
        </w:rPr>
        <w:t xml:space="preserve"> applies to each of these requirements.</w:t>
      </w:r>
    </w:p>
    <w:p>
      <w:bookmarkStart w:id="73" w:name="c_bpk_cond_excess"/>
      <w:r>
        <w:rPr>
          <w:rFonts w:ascii="Georgia" w:hAnsi="Georgia" w:eastAsia="Georgia"/>
          <w:b/>
          <w:i w:val="0"/>
          <w:color w:val="2E5C4E"/>
          <w:sz w:val="25"/>
        </w:rPr>
        <w:t>Excess</w:t>
      </w:r>
      <w:bookmarkEnd w:id="73"/>
    </w:p>
    <w:p>
      <w:r>
        <w:rPr>
          <w:b w:val="0"/>
          <w:i w:val="0"/>
        </w:rPr>
        <w:t>You bear the Excess for each claim or insured loss. If one event gives rise to a claim under more than one section, you bear only the highest of the Excesses that apply to the sections under which we pay.</w:t>
      </w:r>
    </w:p>
    <w:p>
      <w:bookmarkStart w:id="74" w:name="c_bpk_cond_limits_and_more_than_one_sect"/>
      <w:r>
        <w:rPr>
          <w:rFonts w:ascii="Georgia" w:hAnsi="Georgia" w:eastAsia="Georgia"/>
          <w:b/>
          <w:i w:val="0"/>
          <w:color w:val="2E5C4E"/>
          <w:sz w:val="25"/>
        </w:rPr>
        <w:t>Limits and More Than One Section</w:t>
      </w:r>
      <w:bookmarkEnd w:id="74"/>
    </w:p>
    <w:p>
      <w:r>
        <w:rPr>
          <w:b w:val="0"/>
          <w:i w:val="0"/>
        </w:rPr>
        <w:t xml:space="preserve">Each section limit and Sum insured is the most we pay under that section, as stated in the section. Defence costs under </w:t>
      </w:r>
      <w:hyperlink w:anchor="c_bpk_section_liability">
        <w:r>
          <w:rPr>
            <w:color w:val="2E5C4E"/>
            <w:u w:val="single"/>
          </w:rPr>
          <w:t xml:space="preserve">the Public and Products Liability section</w:t>
        </w:r>
      </w:hyperlink>
      <w:r>
        <w:rPr>
          <w:b w:val="0"/>
          <w:i w:val="0"/>
        </w:rPr>
        <w:t xml:space="preserve"> are payable in addition to the limit. Section limits do not share an overall aggregate.</w:t>
      </w:r>
    </w:p>
    <w:p>
      <w:r>
        <w:rPr>
          <w:b w:val="0"/>
          <w:i w:val="0"/>
        </w:rPr>
        <w:t xml:space="preserve">Sections respond together to different parts of the same event. For example, a fire can be paid under </w:t>
      </w:r>
      <w:hyperlink w:anchor="c_bpk_section_property_damage">
        <w:r>
          <w:rPr>
            <w:color w:val="2E5C4E"/>
            <w:u w:val="single"/>
          </w:rPr>
          <w:t xml:space="preserve">the Property Damage section</w:t>
        </w:r>
      </w:hyperlink>
      <w:r>
        <w:rPr>
          <w:b w:val="0"/>
          <w:i w:val="0"/>
        </w:rPr>
        <w:t xml:space="preserve"> for the Damage and under </w:t>
      </w:r>
      <w:hyperlink w:anchor="c_bpk_section_business_interruption">
        <w:r>
          <w:rPr>
            <w:color w:val="2E5C4E"/>
            <w:u w:val="single"/>
          </w:rPr>
          <w:t xml:space="preserve">the Business Interruption section</w:t>
        </w:r>
      </w:hyperlink>
      <w:r>
        <w:rPr>
          <w:b w:val="0"/>
          <w:i w:val="0"/>
        </w:rPr>
        <w:t xml:space="preserve"> for the interruption that follows. Each section pays on its own terms and up to its own limit.</w:t>
      </w:r>
    </w:p>
    <w:p>
      <w:r>
        <w:rPr>
          <w:b w:val="0"/>
          <w:i w:val="0"/>
        </w:rPr>
        <w:t xml:space="preserve">Where the same part of a loss is covered under more than one section, we pay it once only, under one section, and we do not pay the same amount twice. For a loss of funds covered under both </w:t>
      </w:r>
      <w:hyperlink w:anchor="c_bpk_section_crime">
        <w:r>
          <w:rPr>
            <w:color w:val="2E5C4E"/>
            <w:u w:val="single"/>
          </w:rPr>
          <w:t xml:space="preserve">the Comprehensive Crime section</w:t>
        </w:r>
      </w:hyperlink>
      <w:r>
        <w:rPr>
          <w:b w:val="0"/>
          <w:i w:val="0"/>
        </w:rPr>
        <w:t xml:space="preserve"> and </w:t>
      </w:r>
      <w:hyperlink w:anchor="c_bpk_section_cyber">
        <w:r>
          <w:rPr>
            <w:color w:val="2E5C4E"/>
            <w:u w:val="single"/>
          </w:rPr>
          <w:t xml:space="preserve">the Cyber section</w:t>
        </w:r>
      </w:hyperlink>
      <w:r>
        <w:rPr>
          <w:b w:val="0"/>
          <w:i w:val="0"/>
        </w:rPr>
        <w:t xml:space="preserve">, we pay it under </w:t>
      </w:r>
      <w:hyperlink w:anchor="c_bpk_section_crime">
        <w:r>
          <w:rPr>
            <w:color w:val="2E5C4E"/>
            <w:u w:val="single"/>
          </w:rPr>
          <w:t xml:space="preserve">Comprehensive Crime</w:t>
        </w:r>
      </w:hyperlink>
      <w:r>
        <w:rPr>
          <w:b w:val="0"/>
          <w:i w:val="0"/>
        </w:rPr>
        <w:t xml:space="preserve"> where that section is insured. For any other overlap, we pay it under the section that gives you the greater amount. The limit and terms of the section that pays then apply to that part of the loss.</w:t>
      </w:r>
    </w:p>
    <w:p>
      <w:bookmarkStart w:id="75" w:name="c_bpk_cond_other_insurance"/>
      <w:r>
        <w:rPr>
          <w:rFonts w:ascii="Georgia" w:hAnsi="Georgia" w:eastAsia="Georgia"/>
          <w:b/>
          <w:i w:val="0"/>
          <w:color w:val="2E5C4E"/>
          <w:sz w:val="25"/>
        </w:rPr>
        <w:t>Other Insurance</w:t>
      </w:r>
      <w:bookmarkEnd w:id="75"/>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r>
        <w:rPr>
          <w:b w:val="0"/>
          <w:i w:val="0"/>
        </w:rPr>
        <w:t xml:space="preserve">Where one loss would be covered under both </w:t>
      </w:r>
      <w:hyperlink w:anchor="c_bpk_section_crime">
        <w:r>
          <w:rPr>
            <w:color w:val="2E5C4E"/>
            <w:u w:val="single"/>
          </w:rPr>
          <w:t xml:space="preserve">the Comprehensive Crime section</w:t>
        </w:r>
      </w:hyperlink>
      <w:r>
        <w:rPr>
          <w:b w:val="0"/>
          <w:i w:val="0"/>
        </w:rPr>
        <w:t xml:space="preserve"> and </w:t>
      </w:r>
      <w:hyperlink w:anchor="c_bpk_section_cyber">
        <w:r>
          <w:rPr>
            <w:color w:val="2E5C4E"/>
            <w:u w:val="single"/>
          </w:rPr>
          <w:t xml:space="preserve">the Cyber section</w:t>
        </w:r>
      </w:hyperlink>
      <w:r>
        <w:rPr>
          <w:b w:val="0"/>
          <w:i w:val="0"/>
        </w:rPr>
        <w:t xml:space="preserve"> of this Policy, </w:t>
      </w:r>
      <w:hyperlink w:anchor="c_bpk_cond_limits_and_more_than_one_sect">
        <w:r>
          <w:rPr>
            <w:color w:val="2E5C4E"/>
            <w:u w:val="single"/>
          </w:rPr>
          <w:t xml:space="preserve">the Limits and More Than One Section condition</w:t>
        </w:r>
      </w:hyperlink>
      <w:r>
        <w:rPr>
          <w:b w:val="0"/>
          <w:i w:val="0"/>
        </w:rPr>
        <w:t xml:space="preserve"> says which section pays.</w:t>
      </w:r>
    </w:p>
    <w:p>
      <w:bookmarkStart w:id="76" w:name="c_bpk_cond_subrogation_and_interested_pa"/>
      <w:r>
        <w:rPr>
          <w:rFonts w:ascii="Georgia" w:hAnsi="Georgia" w:eastAsia="Georgia"/>
          <w:b/>
          <w:i w:val="0"/>
          <w:color w:val="2E5C4E"/>
          <w:sz w:val="25"/>
        </w:rPr>
        <w:t>Subrogation and Interested Parties</w:t>
      </w:r>
      <w:bookmarkEnd w:id="76"/>
    </w:p>
    <w:p>
      <w:r>
        <w:rPr>
          <w:b w:val="0"/>
          <w:i w:val="0"/>
        </w:rPr>
        <w:t>After we pay a claim, we may take action in your name to recover the amount we paid. You must not give up any right of recovery without our agreement, except under a contract made before the loss in the ordinary course of the Business. We waive our rights against your directors, officers and Employees, except in cases of dishonesty or fraud. An Interested party noted in the Schedule is told before we cancel, and its interest is not prejudiced by your act or omission that it did not know about.</w:t>
      </w:r>
    </w:p>
    <w:p>
      <w:bookmarkStart w:id="77" w:name="c_bpk_cond_notice_of_circumstances"/>
      <w:r>
        <w:rPr>
          <w:rFonts w:ascii="Georgia" w:hAnsi="Georgia" w:eastAsia="Georgia"/>
          <w:b/>
          <w:i w:val="0"/>
          <w:color w:val="2E5C4E"/>
          <w:sz w:val="25"/>
        </w:rPr>
        <w:t>Notice of Circumstances</w:t>
      </w:r>
      <w:bookmarkEnd w:id="77"/>
    </w:p>
    <w:p>
      <w:r>
        <w:rPr>
          <w:b w:val="0"/>
          <w:i w:val="0"/>
        </w:rPr>
        <w:t xml:space="preserve">During the Period of Insurance, you may give us written notice of facts that might give rise to a Claim under </w:t>
      </w:r>
      <w:hyperlink w:anchor="c_bpk_section_cyber">
        <w:r>
          <w:rPr>
            <w:color w:val="2E5C4E"/>
            <w:u w:val="single"/>
          </w:rPr>
          <w:t xml:space="preserve">the Cyber section</w:t>
        </w:r>
      </w:hyperlink>
      <w:r>
        <w:rPr>
          <w:b w:val="0"/>
          <w:i w:val="0"/>
        </w:rPr>
        <w:t xml:space="preserve"> or </w:t>
      </w:r>
      <w:hyperlink w:anchor="c_bpk_section_management_liability">
        <w:r>
          <w:rPr>
            <w:color w:val="2E5C4E"/>
            <w:u w:val="single"/>
          </w:rPr>
          <w:t xml:space="preserve">the Management Liability section</w:t>
        </w:r>
      </w:hyperlink>
      <w:r>
        <w:rPr>
          <w:b w:val="0"/>
          <w:i w:val="0"/>
        </w:rPr>
        <w:t xml:space="preserve">, or an Audit notice under </w:t>
      </w:r>
      <w:hyperlink w:anchor="c_bpk_section_tax_audit">
        <w:r>
          <w:rPr>
            <w:color w:val="2E5C4E"/>
            <w:u w:val="single"/>
          </w:rPr>
          <w:t xml:space="preserve">the Tax Audit section</w:t>
        </w:r>
      </w:hyperlink>
      <w:r>
        <w:rPr>
          <w:b w:val="0"/>
          <w:i w:val="0"/>
        </w:rPr>
        <w:t>. The notice should describe the facts, the persons involved and the potential loss as fully as you can. A Claim or Audit notice later arising from those facts is treated as first made during the Period of Insurance in which the notice was given, as s 40(3) of the Insurance Contracts Act 1984 (Cth) provides.</w:t>
      </w:r>
    </w:p>
    <w:p>
      <w:bookmarkStart w:id="78" w:name="c_bpk_cond_reinstatement"/>
      <w:r>
        <w:rPr>
          <w:rFonts w:ascii="Georgia" w:hAnsi="Georgia" w:eastAsia="Georgia"/>
          <w:b/>
          <w:i w:val="0"/>
          <w:color w:val="2E5C4E"/>
          <w:sz w:val="25"/>
        </w:rPr>
        <w:t>Reinstatement of Sums Insured</w:t>
      </w:r>
      <w:bookmarkEnd w:id="78"/>
    </w:p>
    <w:p>
      <w:r>
        <w:rPr>
          <w:b w:val="0"/>
          <w:i w:val="0"/>
        </w:rPr>
        <w:t xml:space="preserve">After a claim under </w:t>
      </w:r>
      <w:hyperlink w:anchor="c_bpk_section_property_damage">
        <w:r>
          <w:rPr>
            <w:color w:val="2E5C4E"/>
            <w:u w:val="single"/>
          </w:rPr>
          <w:t xml:space="preserve">the Property Damage section</w:t>
        </w:r>
      </w:hyperlink>
      <w:r>
        <w:rPr>
          <w:b w:val="0"/>
          <w:i w:val="0"/>
        </w:rPr>
        <w:t xml:space="preserve">, </w:t>
      </w:r>
      <w:hyperlink w:anchor="c_bpk_section_glass">
        <w:r>
          <w:rPr>
            <w:color w:val="2E5C4E"/>
            <w:u w:val="single"/>
          </w:rPr>
          <w:t xml:space="preserve">the Glass section</w:t>
        </w:r>
      </w:hyperlink>
      <w:r>
        <w:rPr>
          <w:b w:val="0"/>
          <w:i w:val="0"/>
        </w:rPr>
        <w:t xml:space="preserve">, </w:t>
      </w:r>
      <w:hyperlink w:anchor="c_bpk_section_equipment">
        <w:r>
          <w:rPr>
            <w:color w:val="2E5C4E"/>
            <w:u w:val="single"/>
          </w:rPr>
          <w:t xml:space="preserve">the Equipment Damage section</w:t>
        </w:r>
      </w:hyperlink>
      <w:r>
        <w:rPr>
          <w:b w:val="0"/>
          <w:i w:val="0"/>
        </w:rPr>
        <w:t xml:space="preserve">, </w:t>
      </w:r>
      <w:hyperlink w:anchor="c_bpk_section_general_property">
        <w:r>
          <w:rPr>
            <w:color w:val="2E5C4E"/>
            <w:u w:val="single"/>
          </w:rPr>
          <w:t xml:space="preserve">the General Property section</w:t>
        </w:r>
      </w:hyperlink>
      <w:r>
        <w:rPr>
          <w:b w:val="0"/>
          <w:i w:val="0"/>
        </w:rPr>
        <w:t xml:space="preserve"> or </w:t>
      </w:r>
      <w:hyperlink w:anchor="c_bpk_section_transit">
        <w:r>
          <w:rPr>
            <w:color w:val="2E5C4E"/>
            <w:u w:val="single"/>
          </w:rPr>
          <w:t xml:space="preserve">the Goods in Transit section</w:t>
        </w:r>
      </w:hyperlink>
      <w:r>
        <w:rPr>
          <w:b w:val="0"/>
          <w:i w:val="0"/>
        </w:rPr>
        <w:t xml:space="preserve">, the Sum insured is reinstated from the date of loss unless we paid a total loss. We may charge an additional premium for the reinstatement. The section limits of </w:t>
      </w:r>
      <w:hyperlink w:anchor="c_bpk_section_crime">
        <w:r>
          <w:rPr>
            <w:color w:val="2E5C4E"/>
            <w:u w:val="single"/>
          </w:rPr>
          <w:t xml:space="preserve">Comprehensive Crime</w:t>
        </w:r>
      </w:hyperlink>
      <w:r>
        <w:rPr>
          <w:b w:val="0"/>
          <w:i w:val="0"/>
        </w:rPr>
        <w:t xml:space="preserve">, </w:t>
      </w:r>
      <w:hyperlink w:anchor="c_bpk_section_tax_audit">
        <w:r>
          <w:rPr>
            <w:color w:val="2E5C4E"/>
            <w:u w:val="single"/>
          </w:rPr>
          <w:t xml:space="preserve">Tax Audit</w:t>
        </w:r>
      </w:hyperlink>
      <w:r>
        <w:rPr>
          <w:b w:val="0"/>
          <w:i w:val="0"/>
        </w:rPr>
        <w:t xml:space="preserve">, </w:t>
      </w:r>
      <w:hyperlink w:anchor="c_bpk_section_cyber">
        <w:r>
          <w:rPr>
            <w:color w:val="2E5C4E"/>
            <w:u w:val="single"/>
          </w:rPr>
          <w:t xml:space="preserve">Cyber</w:t>
        </w:r>
      </w:hyperlink>
      <w:r>
        <w:rPr>
          <w:b w:val="0"/>
          <w:i w:val="0"/>
        </w:rPr>
        <w:t xml:space="preserve"> and </w:t>
      </w:r>
      <w:hyperlink w:anchor="c_bpk_section_management_liability">
        <w:r>
          <w:rPr>
            <w:color w:val="2E5C4E"/>
            <w:u w:val="single"/>
          </w:rPr>
          <w:t xml:space="preserve">Management Liability</w:t>
        </w:r>
      </w:hyperlink>
      <w:r>
        <w:rPr>
          <w:b w:val="0"/>
          <w:i w:val="0"/>
        </w:rPr>
        <w:t xml:space="preserve"> are aggregate limits and are not reinstated.</w:t>
      </w:r>
    </w:p>
    <w:p>
      <w:bookmarkStart w:id="79" w:name="c_bpk_cond_gst"/>
      <w:r>
        <w:rPr>
          <w:rFonts w:ascii="Georgia" w:hAnsi="Georgia" w:eastAsia="Georgia"/>
          <w:b/>
          <w:i w:val="0"/>
          <w:color w:val="2E5C4E"/>
          <w:sz w:val="25"/>
        </w:rPr>
        <w:t>GST</w:t>
      </w:r>
      <w:bookmarkEnd w:id="79"/>
    </w:p>
    <w:p>
      <w:r>
        <w:rPr>
          <w:b w:val="0"/>
          <w:i w:val="0"/>
        </w:rPr>
        <w:t>Amounts in this Policy include GST. If you are entitled to an input tax credit for the premium or for the cost of a repair or replacement, we reduce our payment by that input tax credit, as the A New Tax System (Goods and Services Tax) Act 1999 (Cth) allows. You must tell us your entitlement to input tax credits when you make a claim.</w:t>
      </w:r>
    </w:p>
    <w:p>
      <w:bookmarkStart w:id="80" w:name="c_bpk_cond_sanctions"/>
      <w:r>
        <w:rPr>
          <w:rFonts w:ascii="Georgia" w:hAnsi="Georgia" w:eastAsia="Georgia"/>
          <w:b/>
          <w:i w:val="0"/>
          <w:color w:val="2E5C4E"/>
          <w:sz w:val="25"/>
        </w:rPr>
        <w:t>Sanctions</w:t>
      </w:r>
      <w:bookmarkEnd w:id="80"/>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81" w:name="c_bpk_cond_fraudulent_claims"/>
      <w:r>
        <w:rPr>
          <w:rFonts w:ascii="Georgia" w:hAnsi="Georgia" w:eastAsia="Georgia"/>
          <w:b/>
          <w:i w:val="0"/>
          <w:color w:val="2E5C4E"/>
          <w:sz w:val="25"/>
        </w:rPr>
        <w:t>Fraudulent Claims</w:t>
      </w:r>
      <w:bookmarkEnd w:id="81"/>
    </w:p>
    <w:p>
      <w:r>
        <w:rPr>
          <w:b w:val="0"/>
          <w:i w:val="0"/>
        </w:rPr>
        <w:t>If a claim is fraudulent, we may refuse to pay it, as s 56 of the Insurance Contracts Act 1984 (Cth) allows.</w:t>
      </w:r>
    </w:p>
    <w:p>
      <w:bookmarkStart w:id="82" w:name="c_bpk_cond_governing_law_and_jurisdictio"/>
      <w:r>
        <w:rPr>
          <w:rFonts w:ascii="Georgia" w:hAnsi="Georgia" w:eastAsia="Georgia"/>
          <w:b/>
          <w:i w:val="0"/>
          <w:color w:val="2E5C4E"/>
          <w:sz w:val="25"/>
        </w:rPr>
        <w:t>Governing Law and Jurisdiction</w:t>
      </w:r>
      <w:bookmarkEnd w:id="82"/>
    </w:p>
    <w:p>
      <w:r>
        <w:rPr>
          <w:b w:val="0"/>
          <w:i w:val="0"/>
        </w:rPr>
        <w:t>This Policy is governed by the law of the State or Territory shown in the Schedule as the governing-law jurisdiction at inception. Each party submits to the non-exclusive jurisdiction of the courts of that State or Territory. [WP REVIEW: add a service-of-suit clause where the insurer is not APRA-authorised.]</w:t>
      </w:r>
    </w:p>
    <w:p>
      <w:bookmarkStart w:id="83" w:name="c_bpk_cond_complaints"/>
      <w:r>
        <w:rPr>
          <w:rFonts w:ascii="Georgia" w:hAnsi="Georgia" w:eastAsia="Georgia"/>
          <w:b/>
          <w:i w:val="0"/>
          <w:color w:val="2E5C4E"/>
          <w:sz w:val="25"/>
        </w:rPr>
        <w:t>Complaints</w:t>
      </w:r>
      <w:bookmarkEnd w:id="83"/>
    </w:p>
    <w:p>
      <w:r>
        <w:rPr>
          <w:b w:val="0"/>
          <w:i w:val="0"/>
        </w:rPr>
        <w:t>If you have a complaint, contact us or your broker first. We will acknowledge it within one business day where practicable and give you our final response within 30 calendar days, as ASIC Regulatory Guide 271 requires. If you are not satisfied, or we have not responded in that time, you may contact the Australian Financial Complaints Authority (AFCA): www.afca.org.au · 1800 931 678 · info@afca.org.au · GPO Box 3, Melbourne VIC 3001.</w:t>
      </w:r>
    </w:p>
    <w:p>
      <w:bookmarkStart w:id="84" w:name="c_bpk_cond_version_of_this_wording"/>
      <w:r>
        <w:rPr>
          <w:rFonts w:ascii="Georgia" w:hAnsi="Georgia" w:eastAsia="Georgia"/>
          <w:b/>
          <w:i w:val="0"/>
          <w:color w:val="2E5C4E"/>
          <w:sz w:val="25"/>
        </w:rPr>
        <w:t>Version of This Wording</w:t>
      </w:r>
      <w:bookmarkEnd w:id="84"/>
    </w:p>
    <w:p>
      <w:r>
        <w:rPr>
          <w:b w:val="0"/>
          <w:i w:val="0"/>
        </w:rPr>
        <w:t>The version of this wording in force at the start of the Period of Insurance applies for that Period of Insurance. Later versions apply only if we agree with you in writing.</w:t>
      </w:r>
    </w:p>
    <w:p>
      <w:bookmarkStart w:id="85" w:name="c_bpk_cond_currency_and_short_periods"/>
      <w:r>
        <w:rPr>
          <w:rFonts w:ascii="Georgia" w:hAnsi="Georgia" w:eastAsia="Georgia"/>
          <w:b/>
          <w:i w:val="0"/>
          <w:color w:val="2E5C4E"/>
          <w:sz w:val="25"/>
        </w:rPr>
        <w:t>Currency and Short Periods</w:t>
      </w:r>
      <w:bookmarkEnd w:id="85"/>
    </w:p>
    <w:p>
      <w:r>
        <w:rPr>
          <w:b w:val="0"/>
          <w:i w:val="0"/>
        </w:rPr>
        <w:t>All amounts are in Australian dollars. Where the Period of Insurance is shorter or longer than 12 months, the premium is adjusted pro rata to the number of days; limits and sums insured are not adjusted.</w:t>
      </w:r>
    </w:p>
    <w:p>
      <w:bookmarkStart w:id="86" w:name="c_bpk_section_property_damage"/>
      <w:r>
        <w:rPr>
          <w:rFonts w:ascii="Georgia" w:hAnsi="Georgia" w:eastAsia="Georgia"/>
          <w:b/>
          <w:i w:val="0"/>
          <w:color w:val="1C1915"/>
          <w:sz w:val="32"/>
        </w:rPr>
        <w:t>Property Damage</w:t>
      </w:r>
      <w:bookmarkEnd w:id="86"/>
    </w:p>
    <w:p>
      <w:r>
        <w:rPr>
          <w:b w:val="0"/>
          <w:i w:val="0"/>
        </w:rPr>
        <w:t>Written for each Situation.</w:t>
      </w:r>
    </w:p>
    <w:p>
      <w:bookmarkStart w:id="87" w:name="c_bpk_pd_cover"/>
      <w:r>
        <w:rPr>
          <w:rFonts w:ascii="Georgia" w:hAnsi="Georgia" w:eastAsia="Georgia"/>
          <w:b/>
          <w:i w:val="0"/>
          <w:color w:val="2E5C4E"/>
          <w:sz w:val="25"/>
        </w:rPr>
        <w:t>Damage to Property Insured</w:t>
      </w:r>
      <w:bookmarkEnd w:id="87"/>
    </w:p>
    <w:p>
      <w:r>
        <w:rPr>
          <w:b w:val="0"/>
          <w:i w:val="0"/>
        </w:rPr>
        <w:t>We will pay for Damage to the property insured at a Situation, caused by an Insured event during the Period of Insurance. Property insured is the Building, Contents, Stock, landlord's fixtures and fittings, tenant's improvements and other property shown in the Schedule for that Situation.</w:t>
      </w:r>
    </w:p>
    <w:p>
      <w:bookmarkStart w:id="88" w:name="c_bpk_pd_insured_events"/>
      <w:r>
        <w:rPr>
          <w:rFonts w:ascii="Georgia" w:hAnsi="Georgia" w:eastAsia="Georgia"/>
          <w:b/>
          <w:i w:val="0"/>
          <w:color w:val="2E5C4E"/>
          <w:sz w:val="25"/>
        </w:rPr>
        <w:t>Insured Events</w:t>
      </w:r>
      <w:bookmarkEnd w:id="88"/>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Event</w:t>
            </w:r>
          </w:p>
        </w:tc>
        <w:tc>
          <w:tcPr>
            <w:tcW w:type="dxa" w:w="4873"/>
          </w:tcPr>
          <w:p>
            <w:r/>
            <w:r>
              <w:rPr>
                <w:b w:val="0"/>
                <w:i w:val="0"/>
              </w:rPr>
              <w:t>Description</w:t>
            </w:r>
          </w:p>
        </w:tc>
      </w:tr>
      <w:tr>
        <w:tc>
          <w:tcPr>
            <w:tcW w:type="dxa" w:w="4873"/>
          </w:tcPr>
          <w:p>
            <w:r/>
            <w:r>
              <w:rPr>
                <w:b w:val="0"/>
                <w:i w:val="0"/>
              </w:rPr>
              <w:t>Fire</w:t>
            </w:r>
          </w:p>
        </w:tc>
        <w:tc>
          <w:tcPr>
            <w:tcW w:type="dxa" w:w="4873"/>
          </w:tcPr>
          <w:p>
            <w:r/>
            <w:r>
              <w:rPr>
                <w:b w:val="0"/>
                <w:i w:val="0"/>
              </w:rPr>
              <w:t>Fire, explosion, lightning, thunderbolt</w:t>
            </w:r>
          </w:p>
        </w:tc>
      </w:tr>
      <w:tr>
        <w:tc>
          <w:tcPr>
            <w:tcW w:type="dxa" w:w="4873"/>
          </w:tcPr>
          <w:p>
            <w:r/>
            <w:r>
              <w:rPr>
                <w:b w:val="0"/>
                <w:i w:val="0"/>
              </w:rPr>
              <w:t>Storm and flood</w:t>
            </w:r>
          </w:p>
        </w:tc>
        <w:tc>
          <w:tcPr>
            <w:tcW w:type="dxa" w:w="4873"/>
          </w:tcPr>
          <w:p>
            <w:r/>
            <w:r>
              <w:rPr>
                <w:b w:val="0"/>
                <w:i w:val="0"/>
              </w:rPr>
              <w:t>Storm, tempest, rainwater, flood, high water</w:t>
            </w:r>
          </w:p>
        </w:tc>
      </w:tr>
      <w:tr>
        <w:tc>
          <w:tcPr>
            <w:tcW w:type="dxa" w:w="4873"/>
          </w:tcPr>
          <w:p>
            <w:r/>
            <w:r>
              <w:rPr>
                <w:b w:val="0"/>
                <w:i w:val="0"/>
              </w:rPr>
              <w:t>Earthquake</w:t>
            </w:r>
          </w:p>
        </w:tc>
        <w:tc>
          <w:tcPr>
            <w:tcW w:type="dxa" w:w="4873"/>
          </w:tcPr>
          <w:p>
            <w:r/>
            <w:r>
              <w:rPr>
                <w:b w:val="0"/>
                <w:i w:val="0"/>
              </w:rPr>
              <w:t>Earthquake, tsunami, subterranean fire, volcanic eruption</w:t>
            </w:r>
          </w:p>
        </w:tc>
      </w:tr>
      <w:tr>
        <w:tc>
          <w:tcPr>
            <w:tcW w:type="dxa" w:w="4873"/>
          </w:tcPr>
          <w:p>
            <w:r/>
            <w:r>
              <w:rPr>
                <w:b w:val="0"/>
                <w:i w:val="0"/>
              </w:rPr>
              <w:t>Impact</w:t>
            </w:r>
          </w:p>
        </w:tc>
        <w:tc>
          <w:tcPr>
            <w:tcW w:type="dxa" w:w="4873"/>
          </w:tcPr>
          <w:p>
            <w:r/>
            <w:r>
              <w:rPr>
                <w:b w:val="0"/>
                <w:i w:val="0"/>
              </w:rPr>
              <w:t>Impact by vehicles, aircraft, falling trees or other objects</w:t>
            </w:r>
          </w:p>
        </w:tc>
      </w:tr>
      <w:tr>
        <w:tc>
          <w:tcPr>
            <w:tcW w:type="dxa" w:w="4873"/>
          </w:tcPr>
          <w:p>
            <w:r/>
            <w:r>
              <w:rPr>
                <w:b w:val="0"/>
                <w:i w:val="0"/>
              </w:rPr>
              <w:t>Water damage</w:t>
            </w:r>
          </w:p>
        </w:tc>
        <w:tc>
          <w:tcPr>
            <w:tcW w:type="dxa" w:w="4873"/>
          </w:tcPr>
          <w:p>
            <w:r/>
            <w:r>
              <w:rPr>
                <w:b w:val="0"/>
                <w:i w:val="0"/>
              </w:rPr>
              <w:t>Bursting, leaking or overflowing of water pipes, tanks or apparatus</w:t>
            </w:r>
          </w:p>
        </w:tc>
      </w:tr>
      <w:tr>
        <w:tc>
          <w:tcPr>
            <w:tcW w:type="dxa" w:w="4873"/>
          </w:tcPr>
          <w:p>
            <w:r/>
            <w:r>
              <w:rPr>
                <w:b w:val="0"/>
                <w:i w:val="0"/>
              </w:rPr>
              <w:t>Riot</w:t>
            </w:r>
          </w:p>
        </w:tc>
        <w:tc>
          <w:tcPr>
            <w:tcW w:type="dxa" w:w="4873"/>
          </w:tcPr>
          <w:p>
            <w:r/>
            <w:r>
              <w:rPr>
                <w:b w:val="0"/>
                <w:i w:val="0"/>
              </w:rPr>
              <w:t>Riot, civil commotion, strikes, locked-out workers</w:t>
            </w:r>
          </w:p>
        </w:tc>
      </w:tr>
      <w:tr>
        <w:tc>
          <w:tcPr>
            <w:tcW w:type="dxa" w:w="4873"/>
          </w:tcPr>
          <w:p>
            <w:r/>
            <w:r>
              <w:rPr>
                <w:b w:val="0"/>
                <w:i w:val="0"/>
              </w:rPr>
              <w:t>Malicious damage</w:t>
            </w:r>
          </w:p>
        </w:tc>
        <w:tc>
          <w:tcPr>
            <w:tcW w:type="dxa" w:w="4873"/>
          </w:tcPr>
          <w:p>
            <w:r/>
            <w:r>
              <w:rPr>
                <w:b w:val="0"/>
                <w:i w:val="0"/>
              </w:rPr>
              <w:t xml:space="preserve">Malicious acts or vandalism, other than theft (see </w:t>
            </w:r>
            <w:hyperlink w:anchor="c_bpk_section_crime">
              <w:r>
                <w:rPr>
                  <w:color w:val="2E5C4E"/>
                  <w:u w:val="single"/>
                </w:rPr>
                <w:t xml:space="preserve">the Comprehensive Crime section</w:t>
              </w:r>
            </w:hyperlink>
            <w:r>
              <w:rPr>
                <w:b w:val="0"/>
                <w:i w:val="0"/>
              </w:rPr>
              <w:t>)</w:t>
            </w:r>
          </w:p>
        </w:tc>
      </w:tr>
      <w:tr>
        <w:tc>
          <w:tcPr>
            <w:tcW w:type="dxa" w:w="4873"/>
          </w:tcPr>
          <w:p>
            <w:r/>
            <w:r>
              <w:rPr>
                <w:b w:val="0"/>
                <w:i w:val="0"/>
              </w:rPr>
              <w:t>Escape of liquid</w:t>
            </w:r>
          </w:p>
        </w:tc>
        <w:tc>
          <w:tcPr>
            <w:tcW w:type="dxa" w:w="4873"/>
          </w:tcPr>
          <w:p>
            <w:r/>
            <w:r>
              <w:rPr>
                <w:b w:val="0"/>
                <w:i w:val="0"/>
              </w:rPr>
              <w:t>Escape of oil or other liquid from a fixed heating or cooking installation</w:t>
            </w:r>
          </w:p>
        </w:tc>
      </w:tr>
      <w:tr>
        <w:tc>
          <w:tcPr>
            <w:tcW w:type="dxa" w:w="4873"/>
          </w:tcPr>
          <w:p>
            <w:r/>
            <w:r>
              <w:rPr>
                <w:b w:val="0"/>
                <w:i w:val="0"/>
              </w:rPr>
              <w:t>Sprinkler leakage</w:t>
            </w:r>
          </w:p>
        </w:tc>
        <w:tc>
          <w:tcPr>
            <w:tcW w:type="dxa" w:w="4873"/>
          </w:tcPr>
          <w:p>
            <w:r/>
            <w:r>
              <w:rPr>
                <w:b w:val="0"/>
                <w:i w:val="0"/>
              </w:rPr>
              <w:t>Accidental discharge from a sprinkler or fire suppression system</w:t>
            </w:r>
          </w:p>
        </w:tc>
      </w:tr>
    </w:tbl>
    <w:p>
      <w:hyperlink w:anchor="c_bpk_end_e01">
        <w:r>
          <w:rPr>
            <w:color w:val="2E5C4E"/>
            <w:u w:val="single"/>
          </w:rPr>
          <w:t xml:space="preserve">The E01 Accidental Damage endorsement</w:t>
        </w:r>
      </w:hyperlink>
      <w:r>
        <w:rPr>
          <w:b w:val="0"/>
          <w:i w:val="0"/>
        </w:rPr>
        <w:t xml:space="preserve"> extends this clause to accidental damage, and </w:t>
      </w:r>
      <w:hyperlink w:anchor="c_bpk_end_e02">
        <w:r>
          <w:rPr>
            <w:color w:val="2E5C4E"/>
            <w:u w:val="single"/>
          </w:rPr>
          <w:t xml:space="preserve">the E02 Flood endorsement</w:t>
        </w:r>
      </w:hyperlink>
      <w:r>
        <w:rPr>
          <w:b w:val="0"/>
          <w:i w:val="0"/>
        </w:rPr>
        <w:t xml:space="preserve"> modifies the flood cover, where the Schedule shows them as operative.</w:t>
      </w:r>
    </w:p>
    <w:p>
      <w:bookmarkStart w:id="89" w:name="c_bpk_pd_basis_of_settlement"/>
      <w:r>
        <w:rPr>
          <w:rFonts w:ascii="Georgia" w:hAnsi="Georgia" w:eastAsia="Georgia"/>
          <w:b/>
          <w:i w:val="0"/>
          <w:color w:val="2E5C4E"/>
          <w:sz w:val="25"/>
        </w:rPr>
        <w:t>Settling Property Damage</w:t>
      </w:r>
      <w:bookmarkEnd w:id="89"/>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Property</w:t>
            </w:r>
          </w:p>
        </w:tc>
        <w:tc>
          <w:tcPr>
            <w:tcW w:type="dxa" w:w="4873"/>
          </w:tcPr>
          <w:p>
            <w:r/>
            <w:r>
              <w:rPr>
                <w:b w:val="0"/>
                <w:i w:val="0"/>
              </w:rPr>
              <w:t>How we settle</w:t>
            </w:r>
          </w:p>
        </w:tc>
      </w:tr>
      <w:tr>
        <w:tc>
          <w:tcPr>
            <w:tcW w:type="dxa" w:w="4873"/>
          </w:tcPr>
          <w:p>
            <w:r/>
            <w:r>
              <w:rPr>
                <w:b w:val="0"/>
                <w:i w:val="0"/>
              </w:rPr>
              <w:t>Building</w:t>
            </w:r>
          </w:p>
        </w:tc>
        <w:tc>
          <w:tcPr>
            <w:tcW w:type="dxa" w:w="4873"/>
          </w:tcPr>
          <w:p>
            <w:r/>
            <w:r>
              <w:rPr>
                <w:b w:val="0"/>
                <w:i w:val="0"/>
              </w:rPr>
              <w:t>Cost of reinstatement: repair or rebuild to a condition substantially the same as new, including the extra cost to comply with current building laws</w:t>
            </w:r>
          </w:p>
        </w:tc>
      </w:tr>
      <w:tr>
        <w:tc>
          <w:tcPr>
            <w:tcW w:type="dxa" w:w="4873"/>
          </w:tcPr>
          <w:p>
            <w:r/>
            <w:r>
              <w:rPr>
                <w:b w:val="0"/>
                <w:i w:val="0"/>
              </w:rPr>
              <w:t>Contents</w:t>
            </w:r>
          </w:p>
        </w:tc>
        <w:tc>
          <w:tcPr>
            <w:tcW w:type="dxa" w:w="4873"/>
          </w:tcPr>
          <w:p>
            <w:r/>
            <w:r>
              <w:rPr>
                <w:b w:val="0"/>
                <w:i w:val="0"/>
              </w:rPr>
              <w:t>Replacement as new with equivalent property, or repair if repair costs less</w:t>
            </w:r>
          </w:p>
        </w:tc>
      </w:tr>
      <w:tr>
        <w:tc>
          <w:tcPr>
            <w:tcW w:type="dxa" w:w="4873"/>
          </w:tcPr>
          <w:p>
            <w:r/>
            <w:r>
              <w:rPr>
                <w:b w:val="0"/>
                <w:i w:val="0"/>
              </w:rPr>
              <w:t>Stock</w:t>
            </w:r>
          </w:p>
        </w:tc>
        <w:tc>
          <w:tcPr>
            <w:tcW w:type="dxa" w:w="4873"/>
          </w:tcPr>
          <w:p>
            <w:r/>
            <w:r>
              <w:rPr>
                <w:b w:val="0"/>
                <w:i w:val="0"/>
              </w:rPr>
              <w:t>The lesser of cost price, selling price less profit, or market value at the time of Damage</w:t>
            </w:r>
          </w:p>
        </w:tc>
      </w:tr>
      <w:tr>
        <w:tc>
          <w:tcPr>
            <w:tcW w:type="dxa" w:w="4873"/>
          </w:tcPr>
          <w:p>
            <w:r/>
            <w:r>
              <w:rPr>
                <w:b w:val="0"/>
                <w:i w:val="0"/>
              </w:rPr>
              <w:t>Tenant's improvements</w:t>
            </w:r>
          </w:p>
        </w:tc>
        <w:tc>
          <w:tcPr>
            <w:tcW w:type="dxa" w:w="4873"/>
          </w:tcPr>
          <w:p>
            <w:r/>
            <w:r>
              <w:rPr>
                <w:b w:val="0"/>
                <w:i w:val="0"/>
              </w:rPr>
              <w:t>Cost of reinstatement, to the extent you are obliged or choose to reinstate</w:t>
            </w:r>
          </w:p>
        </w:tc>
      </w:tr>
    </w:tbl>
    <w:p>
      <w:bookmarkStart w:id="90" w:name="c_bpk_pd_underinsurance"/>
      <w:r>
        <w:rPr>
          <w:rFonts w:ascii="Georgia" w:hAnsi="Georgia" w:eastAsia="Georgia"/>
          <w:b/>
          <w:i w:val="0"/>
          <w:color w:val="2E5C4E"/>
          <w:sz w:val="25"/>
        </w:rPr>
        <w:t>Underinsurance (Property)</w:t>
      </w:r>
      <w:bookmarkEnd w:id="90"/>
    </w:p>
    <w:p>
      <w:r>
        <w:rPr>
          <w:b w:val="0"/>
          <w:i w:val="0"/>
        </w:rPr>
        <w:t>If, at the time of Damage, the Sum insured for an item is less than the underinsurance percentage shown in the Schedule of that item's full insurable value, we pay only the proportion of the loss that the Sum insured bears to that percentage of full value. This clause applies to each item separately. We will not apply it to a loss of less than the threshold shown in the Schedule.</w:t>
      </w:r>
    </w:p>
    <w:p>
      <w:r>
        <w:rPr>
          <w:b w:val="0"/>
          <w:i w:val="0"/>
        </w:rPr>
        <w:t>Worked example, underinsurance at 80%: Contents insured for $500,000 (Schedule); full insurable value $800,000; Damage $200,000. 80% of $800,000 is $640,000. We pay $500,000 ÷ $640,000 × $200,000 = $156,250, before the Excess.</w:t>
      </w:r>
    </w:p>
    <w:p>
      <w:r>
        <w:rPr>
          <w:b w:val="0"/>
          <w:i w:val="0"/>
        </w:rPr>
        <w:t>[WP REVIEW: confirm the notice of average needed under s 44 of the Insurance Contracts Act 1984 (Cth) before this clause can be relied on.]</w:t>
      </w:r>
    </w:p>
    <w:p>
      <w:bookmarkStart w:id="91" w:name="c_bpk_pd_additional_benefits"/>
      <w:r>
        <w:rPr>
          <w:rFonts w:ascii="Georgia" w:hAnsi="Georgia" w:eastAsia="Georgia"/>
          <w:b/>
          <w:i w:val="0"/>
          <w:color w:val="2E5C4E"/>
          <w:sz w:val="25"/>
        </w:rPr>
        <w:t>Property Damage Additional Benefits</w:t>
      </w:r>
      <w:bookmarkEnd w:id="91"/>
    </w:p>
    <w:p>
      <w:r>
        <w:rPr>
          <w:b w:val="0"/>
          <w:i w:val="0"/>
        </w:rPr>
        <w:t xml:space="preserve">These benefits apply at each Situation where </w:t>
      </w:r>
      <w:hyperlink w:anchor="c_bpk_section_property_damage">
        <w:r>
          <w:rPr>
            <w:color w:val="2E5C4E"/>
            <w:u w:val="single"/>
          </w:rPr>
          <w:t xml:space="preserve">Property Damage</w:t>
        </w:r>
      </w:hyperlink>
      <w:r>
        <w:rPr>
          <w:b w:val="0"/>
          <w:i w:val="0"/>
        </w:rPr>
        <w:t xml:space="preserve"> is insured. Each is paid up to the sub-limit shown in the Schedule (defaults in </w:t>
      </w:r>
      <w:hyperlink w:anchor="c_bpk_appendix_default_schedule_values">
        <w:r>
          <w:rPr>
            <w:color w:val="2E5C4E"/>
            <w:u w:val="single"/>
          </w:rPr>
          <w:t xml:space="preserve">the Default Schedule Values</w:t>
        </w:r>
      </w:hyperlink>
      <w:r>
        <w:rPr>
          <w:b w:val="0"/>
          <w:i w:val="0"/>
        </w:rPr>
        <w:t xml:space="preserve">) and, unless </w:t>
      </w:r>
      <w:hyperlink w:anchor="c_bpk_appendix_default_schedule_values">
        <w:r>
          <w:rPr>
            <w:color w:val="2E5C4E"/>
            <w:u w:val="single"/>
          </w:rPr>
          <w:t xml:space="preserve">Default Schedule Values</w:t>
        </w:r>
      </w:hyperlink>
      <w:r>
        <w:rPr>
          <w:b w:val="0"/>
          <w:i w:val="0"/>
        </w:rPr>
        <w:t xml:space="preserve"> says otherwise, in addition to the Sum insured:</w:t>
      </w:r>
    </w:p>
    <w:p>
      <w:pPr>
        <w:pStyle w:val="ListBullet"/>
      </w:pPr>
      <w:r>
        <w:rPr>
          <w:b w:val="0"/>
          <w:i w:val="0"/>
        </w:rPr>
        <w:t>temporary removal of property to other locations;</w:t>
      </w:r>
    </w:p>
    <w:p>
      <w:pPr>
        <w:pStyle w:val="ListBullet"/>
      </w:pPr>
      <w:r>
        <w:rPr>
          <w:b w:val="0"/>
          <w:i w:val="0"/>
        </w:rPr>
        <w:t>debris removal;</w:t>
      </w:r>
    </w:p>
    <w:p>
      <w:pPr>
        <w:pStyle w:val="ListBullet"/>
      </w:pPr>
      <w:r>
        <w:rPr>
          <w:b w:val="0"/>
          <w:i w:val="0"/>
        </w:rPr>
        <w:t>fire brigade charges;</w:t>
      </w:r>
    </w:p>
    <w:p>
      <w:pPr>
        <w:pStyle w:val="ListBullet"/>
      </w:pPr>
      <w:r>
        <w:rPr>
          <w:b w:val="0"/>
          <w:i w:val="0"/>
        </w:rPr>
        <w:t>expediting costs;</w:t>
      </w:r>
    </w:p>
    <w:p>
      <w:pPr>
        <w:pStyle w:val="ListBullet"/>
      </w:pPr>
      <w:r>
        <w:rPr>
          <w:b w:val="0"/>
          <w:i w:val="0"/>
        </w:rPr>
        <w:t>Employees' personal property;</w:t>
      </w:r>
    </w:p>
    <w:p>
      <w:pPr>
        <w:pStyle w:val="ListBullet"/>
      </w:pPr>
      <w:r>
        <w:rPr>
          <w:b w:val="0"/>
          <w:i w:val="0"/>
        </w:rPr>
        <w:t>automatic additions for new property at existing Situations;</w:t>
      </w:r>
    </w:p>
    <w:p>
      <w:pPr>
        <w:pStyle w:val="ListBullet"/>
      </w:pPr>
      <w:r>
        <w:rPr>
          <w:b w:val="0"/>
          <w:i w:val="0"/>
        </w:rPr>
        <w:t>capital additions;</w:t>
      </w:r>
    </w:p>
    <w:p>
      <w:pPr>
        <w:pStyle w:val="ListBullet"/>
      </w:pPr>
      <w:r>
        <w:rPr>
          <w:b w:val="0"/>
          <w:i w:val="0"/>
        </w:rPr>
        <w:t>temporary protection costs;</w:t>
      </w:r>
    </w:p>
    <w:p>
      <w:pPr>
        <w:pStyle w:val="ListBullet"/>
      </w:pPr>
      <w:r>
        <w:rPr>
          <w:b w:val="0"/>
          <w:i w:val="0"/>
        </w:rPr>
        <w:t>landscaping;</w:t>
      </w:r>
    </w:p>
    <w:p>
      <w:pPr>
        <w:pStyle w:val="ListBullet"/>
      </w:pPr>
      <w:r>
        <w:rPr>
          <w:b w:val="0"/>
          <w:i w:val="0"/>
        </w:rPr>
        <w:t>rewriting of records;</w:t>
      </w:r>
    </w:p>
    <w:p>
      <w:pPr>
        <w:pStyle w:val="ListBullet"/>
      </w:pPr>
      <w:r>
        <w:rPr>
          <w:b w:val="0"/>
          <w:i w:val="0"/>
        </w:rPr>
        <w:t>lock replacement following theft of keys;</w:t>
      </w:r>
    </w:p>
    <w:p>
      <w:pPr>
        <w:pStyle w:val="ListBullet"/>
      </w:pPr>
      <w:r>
        <w:rPr>
          <w:b w:val="0"/>
          <w:i w:val="0"/>
        </w:rPr>
        <w:t>prevention of access following insured Damage within the distance shown in the Schedule; and</w:t>
      </w:r>
    </w:p>
    <w:p>
      <w:pPr>
        <w:pStyle w:val="ListBullet"/>
      </w:pPr>
      <w:r>
        <w:rPr>
          <w:b w:val="0"/>
          <w:i w:val="0"/>
        </w:rPr>
        <w:t>loss minimisation costs.</w:t>
      </w:r>
    </w:p>
    <w:p>
      <w:bookmarkStart w:id="92" w:name="c_bpk_pd_exclusions"/>
      <w:r>
        <w:rPr>
          <w:rFonts w:ascii="Georgia" w:hAnsi="Georgia" w:eastAsia="Georgia"/>
          <w:b/>
          <w:i w:val="0"/>
          <w:color w:val="2E5C4E"/>
          <w:sz w:val="25"/>
        </w:rPr>
        <w:t>Property Damage Exclusions</w:t>
      </w:r>
      <w:bookmarkEnd w:id="92"/>
    </w:p>
    <w:p>
      <w:r>
        <w:rPr>
          <w:b w:val="0"/>
          <w:i w:val="0"/>
        </w:rPr>
        <w:t xml:space="preserve">In addition to </w:t>
      </w:r>
      <w:hyperlink w:anchor="c_bpk_section_general_exclusions">
        <w:r>
          <w:rPr>
            <w:color w:val="2E5C4E"/>
            <w:u w:val="single"/>
          </w:rPr>
          <w:t xml:space="preserve">the General Exclusions section</w:t>
        </w:r>
      </w:hyperlink>
      <w:r>
        <w:rPr>
          <w:b w:val="0"/>
          <w:i w:val="0"/>
        </w:rPr>
        <w:t xml:space="preserve">, we do not cover under </w:t>
      </w:r>
      <w:hyperlink w:anchor="c_bpk_section_property_damage">
        <w:r>
          <w:rPr>
            <w:color w:val="2E5C4E"/>
            <w:u w:val="single"/>
          </w:rPr>
          <w:t xml:space="preserve">the Property Damage section</w:t>
        </w:r>
      </w:hyperlink>
      <w:r>
        <w:rPr>
          <w:b w:val="0"/>
          <w:i w:val="0"/>
        </w:rPr>
        <w:t>:</w:t>
      </w:r>
    </w:p>
    <w:p>
      <w:pPr>
        <w:pStyle w:val="ListBullet"/>
      </w:pPr>
      <w:r>
        <w:rPr>
          <w:b w:val="0"/>
          <w:i w:val="0"/>
        </w:rPr>
        <w:t xml:space="preserve">theft (see </w:t>
      </w:r>
      <w:hyperlink w:anchor="c_bpk_section_crime">
        <w:r>
          <w:rPr>
            <w:color w:val="2E5C4E"/>
            <w:u w:val="single"/>
          </w:rPr>
          <w:t xml:space="preserve">the Comprehensive Crime section</w:t>
        </w:r>
      </w:hyperlink>
      <w:r>
        <w:rPr>
          <w:b w:val="0"/>
          <w:i w:val="0"/>
        </w:rPr>
        <w:t>);</w:t>
      </w:r>
    </w:p>
    <w:p>
      <w:pPr>
        <w:pStyle w:val="ListBullet"/>
      </w:pPr>
      <w:r>
        <w:rPr>
          <w:b w:val="0"/>
          <w:i w:val="0"/>
        </w:rPr>
        <w:t xml:space="preserve">breakdown of machinery or electronic equipment (see </w:t>
      </w:r>
      <w:hyperlink w:anchor="c_bpk_section_equipment">
        <w:r>
          <w:rPr>
            <w:color w:val="2E5C4E"/>
            <w:u w:val="single"/>
          </w:rPr>
          <w:t xml:space="preserve">the Equipment Damage section</w:t>
        </w:r>
      </w:hyperlink>
      <w:r>
        <w:rPr>
          <w:b w:val="0"/>
          <w:i w:val="0"/>
        </w:rPr>
        <w:t>);</w:t>
      </w:r>
    </w:p>
    <w:p>
      <w:pPr>
        <w:pStyle w:val="ListBullet"/>
      </w:pPr>
      <w:r>
        <w:rPr>
          <w:b w:val="0"/>
          <w:i w:val="0"/>
        </w:rPr>
        <w:t xml:space="preserve">glass breakage (see </w:t>
      </w:r>
      <w:hyperlink w:anchor="c_bpk_section_glass">
        <w:r>
          <w:rPr>
            <w:color w:val="2E5C4E"/>
            <w:u w:val="single"/>
          </w:rPr>
          <w:t xml:space="preserve">the Glass section</w:t>
        </w:r>
      </w:hyperlink>
      <w:r>
        <w:rPr>
          <w:b w:val="0"/>
          <w:i w:val="0"/>
        </w:rPr>
        <w:t>);</w:t>
      </w:r>
    </w:p>
    <w:p>
      <w:pPr>
        <w:pStyle w:val="ListBullet"/>
      </w:pPr>
      <w:r>
        <w:rPr>
          <w:b w:val="0"/>
          <w:i w:val="0"/>
        </w:rPr>
        <w:t>motor vehicles, aircraft and watercraft;</w:t>
      </w:r>
    </w:p>
    <w:p>
      <w:pPr>
        <w:pStyle w:val="ListBullet"/>
      </w:pPr>
      <w:r>
        <w:rPr>
          <w:b w:val="0"/>
          <w:i w:val="0"/>
        </w:rPr>
        <w:t xml:space="preserve">Money (see </w:t>
      </w:r>
      <w:hyperlink w:anchor="c_bpk_section_crime">
        <w:r>
          <w:rPr>
            <w:color w:val="2E5C4E"/>
            <w:u w:val="single"/>
          </w:rPr>
          <w:t xml:space="preserve">the Comprehensive Crime section</w:t>
        </w:r>
      </w:hyperlink>
      <w:r>
        <w:rPr>
          <w:b w:val="0"/>
          <w:i w:val="0"/>
        </w:rPr>
        <w:t>);</w:t>
      </w:r>
    </w:p>
    <w:p>
      <w:pPr>
        <w:pStyle w:val="ListBullet"/>
      </w:pPr>
      <w:r>
        <w:rPr>
          <w:b w:val="0"/>
          <w:i w:val="0"/>
        </w:rPr>
        <w:t>land, roads, dams and bridges;</w:t>
      </w:r>
    </w:p>
    <w:p>
      <w:pPr>
        <w:pStyle w:val="ListBullet"/>
      </w:pPr>
      <w:r>
        <w:rPr>
          <w:b w:val="0"/>
          <w:i w:val="0"/>
        </w:rPr>
        <w:t>animals and growing plants, except the landscaping benefit;</w:t>
      </w:r>
    </w:p>
    <w:p>
      <w:pPr>
        <w:pStyle w:val="ListBullet"/>
      </w:pPr>
      <w:r>
        <w:rPr>
          <w:b w:val="0"/>
          <w:i w:val="0"/>
        </w:rPr>
        <w:t>property under construction where the contract value exceeds the amount shown in the Schedule; and</w:t>
      </w:r>
    </w:p>
    <w:p>
      <w:pPr>
        <w:pStyle w:val="ListBullet"/>
      </w:pPr>
      <w:r>
        <w:rPr>
          <w:b w:val="0"/>
          <w:i w:val="0"/>
        </w:rPr>
        <w:t>subsidence or landslip, unless directly caused by an Insured event.</w:t>
      </w:r>
    </w:p>
    <w:p>
      <w:bookmarkStart w:id="93" w:name="c_bpk_section_business_interruption"/>
      <w:r>
        <w:rPr>
          <w:rFonts w:ascii="Georgia" w:hAnsi="Georgia" w:eastAsia="Georgia"/>
          <w:b/>
          <w:i w:val="0"/>
          <w:color w:val="1C1915"/>
          <w:sz w:val="32"/>
        </w:rPr>
        <w:t>Business Interruption</w:t>
      </w:r>
      <w:bookmarkEnd w:id="93"/>
    </w:p>
    <w:p>
      <w:r>
        <w:rPr>
          <w:b w:val="0"/>
          <w:i w:val="0"/>
        </w:rPr>
        <w:t>Written for each Situation.</w:t>
      </w:r>
    </w:p>
    <w:p>
      <w:bookmarkStart w:id="94" w:name="c_bpk_bi_cover"/>
      <w:r>
        <w:rPr>
          <w:rFonts w:ascii="Georgia" w:hAnsi="Georgia" w:eastAsia="Georgia"/>
          <w:b/>
          <w:i w:val="0"/>
          <w:color w:val="2E5C4E"/>
          <w:sz w:val="25"/>
        </w:rPr>
        <w:t>Interruption of the Business</w:t>
      </w:r>
      <w:bookmarkEnd w:id="94"/>
    </w:p>
    <w:p>
      <w:r>
        <w:rPr>
          <w:b w:val="0"/>
          <w:i w:val="0"/>
        </w:rPr>
        <w:t xml:space="preserve">If Damage covered under </w:t>
      </w:r>
      <w:hyperlink w:anchor="c_bpk_section_property_damage">
        <w:r>
          <w:rPr>
            <w:color w:val="2E5C4E"/>
            <w:u w:val="single"/>
          </w:rPr>
          <w:t xml:space="preserve">the Property Damage section</w:t>
        </w:r>
      </w:hyperlink>
      <w:r>
        <w:rPr>
          <w:b w:val="0"/>
          <w:i w:val="0"/>
        </w:rPr>
        <w:t xml:space="preserve"> at a Situation, or Damage to property in the vicinity of the Premises that prevents access, interrupts the Business during the Period of Insurance, we will pay, during the indemnity period shown in the Schedule:</w:t>
      </w:r>
    </w:p>
    <w:p>
      <w:pPr>
        <w:pStyle w:val="ListBullet"/>
      </w:pPr>
      <w:r>
        <w:rPr>
          <w:b w:val="0"/>
          <w:i w:val="0"/>
        </w:rPr>
        <w:t>loss of gross profit (reduction in turnover less expenses that cease);</w:t>
      </w:r>
    </w:p>
    <w:p>
      <w:pPr>
        <w:pStyle w:val="ListBullet"/>
      </w:pPr>
      <w:r>
        <w:rPr>
          <w:b w:val="0"/>
          <w:i w:val="0"/>
        </w:rPr>
        <w:t>increased cost of working; and</w:t>
      </w:r>
    </w:p>
    <w:p>
      <w:pPr>
        <w:pStyle w:val="ListBullet"/>
      </w:pPr>
      <w:r>
        <w:rPr>
          <w:b w:val="0"/>
          <w:i w:val="0"/>
        </w:rPr>
        <w:t>loss of rent receivable, as shown in the Schedule.</w:t>
      </w:r>
    </w:p>
    <w:p>
      <w:bookmarkStart w:id="95" w:name="c_bpk_bi_waiting_period"/>
      <w:r>
        <w:rPr>
          <w:rFonts w:ascii="Georgia" w:hAnsi="Georgia" w:eastAsia="Georgia"/>
          <w:b/>
          <w:i w:val="0"/>
          <w:color w:val="2E5C4E"/>
          <w:sz w:val="25"/>
        </w:rPr>
        <w:t>Business Interruption Waiting Period</w:t>
      </w:r>
      <w:bookmarkEnd w:id="95"/>
    </w:p>
    <w:p>
      <w:r>
        <w:rPr>
          <w:b w:val="0"/>
          <w:i w:val="0"/>
        </w:rPr>
        <w:t xml:space="preserve">If the Schedule shows a waiting period, we pay only where the interruption lasts longer than the waiting period. Once it does, we pay from the start of the interruption. Any Excess applies in addition, as </w:t>
      </w:r>
      <w:hyperlink w:anchor="c_bpk_cond_excess">
        <w:r>
          <w:rPr>
            <w:color w:val="2E5C4E"/>
            <w:u w:val="single"/>
          </w:rPr>
          <w:t xml:space="preserve">the Excess condition</w:t>
        </w:r>
      </w:hyperlink>
      <w:r>
        <w:rPr>
          <w:b w:val="0"/>
          <w:i w:val="0"/>
        </w:rPr>
        <w:t xml:space="preserve"> provides.</w:t>
      </w:r>
    </w:p>
    <w:p>
      <w:bookmarkStart w:id="96" w:name="c_bpk_bi_underinsurance"/>
      <w:r>
        <w:rPr>
          <w:rFonts w:ascii="Georgia" w:hAnsi="Georgia" w:eastAsia="Georgia"/>
          <w:b/>
          <w:i w:val="0"/>
          <w:color w:val="2E5C4E"/>
          <w:sz w:val="25"/>
        </w:rPr>
        <w:t>Underinsurance (Gross Profit)</w:t>
      </w:r>
      <w:bookmarkEnd w:id="96"/>
    </w:p>
    <w:p>
      <w:r>
        <w:rPr>
          <w:b w:val="0"/>
          <w:i w:val="0"/>
        </w:rPr>
        <w:t>If the gross profit Sum insured is less than the underinsurance percentage shown in the Schedule of the annual gross profit (adjusted for the indemnity period where it exceeds 12 months), we pay only the proportion of the loss that the Sum insured bears to that percentage.</w:t>
      </w:r>
    </w:p>
    <w:p>
      <w:bookmarkStart w:id="97" w:name="c_bpk_bi_additional_benefits"/>
      <w:r>
        <w:rPr>
          <w:rFonts w:ascii="Georgia" w:hAnsi="Georgia" w:eastAsia="Georgia"/>
          <w:b/>
          <w:i w:val="0"/>
          <w:color w:val="2E5C4E"/>
          <w:sz w:val="25"/>
        </w:rPr>
        <w:t>Business Interruption Additional Benefits</w:t>
      </w:r>
      <w:bookmarkEnd w:id="97"/>
    </w:p>
    <w:p>
      <w:r>
        <w:rPr>
          <w:b w:val="0"/>
          <w:i w:val="0"/>
        </w:rPr>
        <w:t xml:space="preserve">Each up to the sub-limit shown in the Schedule (defaults in </w:t>
      </w:r>
      <w:hyperlink w:anchor="c_bpk_appendix_default_schedule_values">
        <w:r>
          <w:rPr>
            <w:color w:val="2E5C4E"/>
            <w:u w:val="single"/>
          </w:rPr>
          <w:t xml:space="preserve">the Default Schedule Values</w:t>
        </w:r>
      </w:hyperlink>
      <w:r>
        <w:rPr>
          <w:b w:val="0"/>
          <w:i w:val="0"/>
        </w:rPr>
        <w:t>):</w:t>
      </w:r>
    </w:p>
    <w:p>
      <w:pPr>
        <w:pStyle w:val="ListBullet"/>
      </w:pPr>
      <w:r>
        <w:rPr>
          <w:b w:val="0"/>
          <w:i w:val="0"/>
        </w:rPr>
        <w:t>prevention of access;</w:t>
      </w:r>
    </w:p>
    <w:p>
      <w:pPr>
        <w:pStyle w:val="ListBullet"/>
      </w:pPr>
      <w:r>
        <w:rPr>
          <w:b w:val="0"/>
          <w:i w:val="0"/>
        </w:rPr>
        <w:t>Damage at customers' or suppliers' premises;</w:t>
      </w:r>
    </w:p>
    <w:p>
      <w:pPr>
        <w:pStyle w:val="ListBullet"/>
      </w:pPr>
      <w:r>
        <w:rPr>
          <w:b w:val="0"/>
          <w:i w:val="0"/>
        </w:rPr>
        <w:t>failure of electricity, gas, water or telecommunications supply caused by physical Damage;</w:t>
      </w:r>
    </w:p>
    <w:p>
      <w:pPr>
        <w:pStyle w:val="ListBullet"/>
      </w:pPr>
      <w:r>
        <w:rPr>
          <w:b w:val="0"/>
          <w:i w:val="0"/>
        </w:rPr>
        <w:t>claims preparation costs;</w:t>
      </w:r>
    </w:p>
    <w:p>
      <w:pPr>
        <w:pStyle w:val="ListBullet"/>
      </w:pPr>
      <w:r>
        <w:rPr>
          <w:b w:val="0"/>
          <w:i w:val="0"/>
        </w:rPr>
        <w:t>loss of attraction; and</w:t>
      </w:r>
    </w:p>
    <w:p>
      <w:pPr>
        <w:pStyle w:val="ListBullet"/>
      </w:pPr>
      <w:r>
        <w:rPr>
          <w:b w:val="0"/>
          <w:i w:val="0"/>
        </w:rPr>
        <w:t>closure ordered by a government or council authority.</w:t>
      </w:r>
    </w:p>
    <w:p>
      <w:bookmarkStart w:id="98" w:name="c_bpk_bi_exclusions"/>
      <w:r>
        <w:rPr>
          <w:rFonts w:ascii="Georgia" w:hAnsi="Georgia" w:eastAsia="Georgia"/>
          <w:b/>
          <w:i w:val="0"/>
          <w:color w:val="2E5C4E"/>
          <w:sz w:val="25"/>
        </w:rPr>
        <w:t>Business Interruption Exclusions</w:t>
      </w:r>
      <w:bookmarkEnd w:id="98"/>
    </w:p>
    <w:p>
      <w:r>
        <w:rPr>
          <w:b w:val="0"/>
          <w:i w:val="0"/>
        </w:rPr>
        <w:t xml:space="preserve">In addition to </w:t>
      </w:r>
      <w:hyperlink w:anchor="c_bpk_section_general_exclusions">
        <w:r>
          <w:rPr>
            <w:color w:val="2E5C4E"/>
            <w:u w:val="single"/>
          </w:rPr>
          <w:t xml:space="preserve">the General Exclusions section</w:t>
        </w:r>
      </w:hyperlink>
      <w:r>
        <w:rPr>
          <w:b w:val="0"/>
          <w:i w:val="0"/>
        </w:rPr>
        <w:t xml:space="preserve">, we do not cover under </w:t>
      </w:r>
      <w:hyperlink w:anchor="c_bpk_section_business_interruption">
        <w:r>
          <w:rPr>
            <w:color w:val="2E5C4E"/>
            <w:u w:val="single"/>
          </w:rPr>
          <w:t xml:space="preserve">the Business Interruption section</w:t>
        </w:r>
      </w:hyperlink>
      <w:r>
        <w:rPr>
          <w:b w:val="0"/>
          <w:i w:val="0"/>
        </w:rPr>
        <w:t>:</w:t>
      </w:r>
    </w:p>
    <w:p>
      <w:pPr>
        <w:pStyle w:val="ListBullet"/>
      </w:pPr>
      <w:r>
        <w:rPr>
          <w:b w:val="0"/>
          <w:i w:val="0"/>
        </w:rPr>
        <w:t xml:space="preserve">loss that is not a direct consequence of Damage covered under </w:t>
      </w:r>
      <w:hyperlink w:anchor="c_bpk_section_property_damage">
        <w:r>
          <w:rPr>
            <w:color w:val="2E5C4E"/>
            <w:u w:val="single"/>
          </w:rPr>
          <w:t xml:space="preserve">the Property Damage section</w:t>
        </w:r>
      </w:hyperlink>
      <w:r>
        <w:rPr>
          <w:b w:val="0"/>
          <w:i w:val="0"/>
        </w:rPr>
        <w:t xml:space="preserve">, other than loss that </w:t>
      </w:r>
      <w:hyperlink w:anchor="c_bpk_bi_cover">
        <w:r>
          <w:rPr>
            <w:color w:val="2E5C4E"/>
            <w:u w:val="single"/>
          </w:rPr>
          <w:t xml:space="preserve">the Interruption of the Business clause</w:t>
        </w:r>
      </w:hyperlink>
      <w:r>
        <w:rPr>
          <w:b w:val="0"/>
          <w:i w:val="0"/>
        </w:rPr>
        <w:t xml:space="preserve"> covers following Damage to property in the vicinity of the Premises, or that </w:t>
      </w:r>
      <w:hyperlink w:anchor="c_bpk_bi_additional_benefits">
        <w:r>
          <w:rPr>
            <w:color w:val="2E5C4E"/>
            <w:u w:val="single"/>
          </w:rPr>
          <w:t xml:space="preserve">the Business Interruption Additional Benefits extension</w:t>
        </w:r>
      </w:hyperlink>
      <w:r>
        <w:rPr>
          <w:b w:val="0"/>
          <w:i w:val="0"/>
        </w:rPr>
        <w:t xml:space="preserve"> covers;</w:t>
      </w:r>
    </w:p>
    <w:p>
      <w:pPr>
        <w:pStyle w:val="ListBullet"/>
      </w:pPr>
      <w:r>
        <w:rPr>
          <w:b w:val="0"/>
          <w:i w:val="0"/>
        </w:rPr>
        <w:t>loss after the indemnity period;</w:t>
      </w:r>
    </w:p>
    <w:p>
      <w:pPr>
        <w:pStyle w:val="ListBullet"/>
      </w:pPr>
      <w:r>
        <w:rPr>
          <w:b w:val="0"/>
          <w:i w:val="0"/>
        </w:rPr>
        <w:t>fines or contractual penalties for late delivery; and</w:t>
      </w:r>
    </w:p>
    <w:p>
      <w:pPr>
        <w:pStyle w:val="ListBullet"/>
      </w:pPr>
      <w:r>
        <w:rPr>
          <w:b w:val="0"/>
          <w:i w:val="0"/>
        </w:rPr>
        <w:t>loss of market or permanent loss of customers that would have occurred regardless of the Damage.</w:t>
      </w:r>
    </w:p>
    <w:p>
      <w:bookmarkStart w:id="99" w:name="c_bpk_section_crime"/>
      <w:r>
        <w:rPr>
          <w:rFonts w:ascii="Georgia" w:hAnsi="Georgia" w:eastAsia="Georgia"/>
          <w:b/>
          <w:i w:val="0"/>
          <w:color w:val="1C1915"/>
          <w:sz w:val="32"/>
        </w:rPr>
        <w:t>Comprehensive Crime</w:t>
      </w:r>
      <w:bookmarkEnd w:id="99"/>
    </w:p>
    <w:p>
      <w:r>
        <w:rPr>
          <w:b w:val="0"/>
          <w:i w:val="0"/>
        </w:rPr>
        <w:t>Written once for the Business. We will pay your direct financial loss, first discovered during the Period of Insurance, under the insuring clauses below.</w:t>
      </w:r>
    </w:p>
    <w:p>
      <w:bookmarkStart w:id="100" w:name="c_bpk_crime_cover_theft"/>
      <w:r>
        <w:rPr>
          <w:rFonts w:ascii="Georgia" w:hAnsi="Georgia" w:eastAsia="Georgia"/>
          <w:b/>
          <w:i w:val="0"/>
          <w:color w:val="2E5C4E"/>
          <w:sz w:val="25"/>
        </w:rPr>
        <w:t>Theft</w:t>
      </w:r>
      <w:bookmarkEnd w:id="100"/>
    </w:p>
    <w:p>
      <w:r>
        <w:rPr>
          <w:b w:val="0"/>
          <w:i w:val="0"/>
        </w:rPr>
        <w:t>Theft of Contents or Stock from the Premises following forcible and violent entry or exit, or hold-up, including Damage to the Building caused by the theft or attempt.</w:t>
      </w:r>
    </w:p>
    <w:p>
      <w:bookmarkStart w:id="101" w:name="c_bpk_crime_cover_money"/>
      <w:r>
        <w:rPr>
          <w:rFonts w:ascii="Georgia" w:hAnsi="Georgia" w:eastAsia="Georgia"/>
          <w:b/>
          <w:i w:val="0"/>
          <w:color w:val="2E5C4E"/>
          <w:sz w:val="25"/>
        </w:rPr>
        <w:t>Money</w:t>
      </w:r>
      <w:bookmarkEnd w:id="101"/>
    </w:p>
    <w:p>
      <w:r>
        <w:rPr>
          <w:b w:val="0"/>
          <w:i w:val="0"/>
        </w:rPr>
        <w:t>Loss of Money by Theft, hold-up, accidental loss or destruction, in the custody locations and up to the custody sub-limits shown in the Schedule.</w:t>
      </w:r>
    </w:p>
    <w:p>
      <w:bookmarkStart w:id="102" w:name="c_bpk_crime_cover_employee_dishonesty"/>
      <w:r>
        <w:rPr>
          <w:rFonts w:ascii="Georgia" w:hAnsi="Georgia" w:eastAsia="Georgia"/>
          <w:b/>
          <w:i w:val="0"/>
          <w:color w:val="2E5C4E"/>
          <w:sz w:val="25"/>
        </w:rPr>
        <w:t>Employee Dishonesty</w:t>
      </w:r>
      <w:bookmarkEnd w:id="102"/>
    </w:p>
    <w:p>
      <w:r>
        <w:rPr>
          <w:b w:val="0"/>
          <w:i w:val="0"/>
        </w:rPr>
        <w:t>A Dishonest act of an Employee, acting alone or with others.</w:t>
      </w:r>
    </w:p>
    <w:p>
      <w:bookmarkStart w:id="103" w:name="c_bpk_crime_cover_forgery"/>
      <w:r>
        <w:rPr>
          <w:rFonts w:ascii="Georgia" w:hAnsi="Georgia" w:eastAsia="Georgia"/>
          <w:b/>
          <w:i w:val="0"/>
          <w:color w:val="2E5C4E"/>
          <w:sz w:val="25"/>
        </w:rPr>
        <w:t>Forgery</w:t>
      </w:r>
      <w:bookmarkEnd w:id="103"/>
    </w:p>
    <w:p>
      <w:r>
        <w:rPr>
          <w:b w:val="0"/>
          <w:i w:val="0"/>
        </w:rPr>
        <w:t>Forgery or fraudulent alteration of a cheque, payment instruction or other financial instrument drawn on your account.</w:t>
      </w:r>
    </w:p>
    <w:p>
      <w:bookmarkStart w:id="104" w:name="c_bpk_crime_cover_computer_fraud"/>
      <w:r>
        <w:rPr>
          <w:rFonts w:ascii="Georgia" w:hAnsi="Georgia" w:eastAsia="Georgia"/>
          <w:b/>
          <w:i w:val="0"/>
          <w:color w:val="2E5C4E"/>
          <w:sz w:val="25"/>
        </w:rPr>
        <w:t>Computer Fraud</w:t>
      </w:r>
      <w:bookmarkEnd w:id="104"/>
    </w:p>
    <w:p>
      <w:r>
        <w:rPr>
          <w:b w:val="0"/>
          <w:i w:val="0"/>
        </w:rPr>
        <w:t>A fraudulent electronic transfer of your funds by a Third party from your accounts without your authority.</w:t>
      </w:r>
    </w:p>
    <w:p>
      <w:bookmarkStart w:id="105" w:name="c_bpk_crime_cover_social_engineering_fra"/>
      <w:r>
        <w:rPr>
          <w:rFonts w:ascii="Georgia" w:hAnsi="Georgia" w:eastAsia="Georgia"/>
          <w:b/>
          <w:i w:val="0"/>
          <w:color w:val="2E5C4E"/>
          <w:sz w:val="25"/>
        </w:rPr>
        <w:t>Social Engineering Fraud</w:t>
      </w:r>
      <w:bookmarkEnd w:id="105"/>
    </w:p>
    <w:p>
      <w:r>
        <w:rPr>
          <w:b w:val="0"/>
          <w:i w:val="0"/>
        </w:rPr>
        <w:t>Where the Schedule shows it as operative, a transfer of your funds by an Employee acting in good faith on a fraudulent instruction from a Third party impersonating a customer, supplier, director or Employee, up to the social engineering sub-limit shown in the Schedule.</w:t>
      </w:r>
    </w:p>
    <w:p>
      <w:bookmarkStart w:id="106" w:name="c_bpk_crime_limits_and_aggregation"/>
      <w:r>
        <w:rPr>
          <w:rFonts w:ascii="Georgia" w:hAnsi="Georgia" w:eastAsia="Georgia"/>
          <w:b/>
          <w:i w:val="0"/>
          <w:color w:val="2E5C4E"/>
          <w:sz w:val="25"/>
        </w:rPr>
        <w:t>Crime Limits and Aggregation</w:t>
      </w:r>
      <w:bookmarkEnd w:id="106"/>
    </w:p>
    <w:p>
      <w:r>
        <w:rPr>
          <w:b w:val="0"/>
          <w:i w:val="0"/>
        </w:rPr>
        <w:t xml:space="preserve">The section limit shown in the Schedule is the most we pay for all loss discovered during the Period of Insurance. The custody sub-limits under </w:t>
      </w:r>
      <w:hyperlink w:anchor="c_bpk_crime_cover_money">
        <w:r>
          <w:rPr>
            <w:color w:val="2E5C4E"/>
            <w:u w:val="single"/>
          </w:rPr>
          <w:t xml:space="preserve">the Money clause</w:t>
        </w:r>
      </w:hyperlink>
      <w:r>
        <w:rPr>
          <w:b w:val="0"/>
          <w:i w:val="0"/>
        </w:rPr>
        <w:t xml:space="preserve"> and the sub-limit under </w:t>
      </w:r>
      <w:hyperlink w:anchor="c_bpk_crime_cover_social_engineering_fra">
        <w:r>
          <w:rPr>
            <w:color w:val="2E5C4E"/>
            <w:u w:val="single"/>
          </w:rPr>
          <w:t xml:space="preserve">the Social Engineering Fraud clause</w:t>
        </w:r>
      </w:hyperlink>
      <w:r>
        <w:rPr>
          <w:b w:val="0"/>
          <w:i w:val="0"/>
        </w:rPr>
        <w:t xml:space="preserve"> are part of, not in addition to, the section limit. A Single loss is treated as one loss, subject to one Excess, and is treated as discovered in the Period of Insurance in which Discovery first occurred.</w:t>
      </w:r>
    </w:p>
    <w:p>
      <w:bookmarkStart w:id="107" w:name="c_bpk_crime_discovery"/>
      <w:r>
        <w:rPr>
          <w:rFonts w:ascii="Georgia" w:hAnsi="Georgia" w:eastAsia="Georgia"/>
          <w:b/>
          <w:i w:val="0"/>
          <w:color w:val="2E5C4E"/>
          <w:sz w:val="25"/>
        </w:rPr>
        <w:t>Discovery and Extended Discovery</w:t>
      </w:r>
      <w:bookmarkEnd w:id="107"/>
    </w:p>
    <w:p>
      <w:r>
        <w:rPr>
          <w:b w:val="0"/>
          <w:i w:val="0"/>
        </w:rPr>
        <w:t xml:space="preserve">You must notify us of a loss within 60 days after Discovery, and in any event within the extended discovery period. If this section is cancelled or not renewed, and not replaced by other crime cover, you have an extended discovery period of 90 days after the Period of Insurance ends to discover loss sustained before it ended. </w:t>
      </w:r>
      <w:hyperlink w:anchor="c_bpk_cond_insurance_contracts_act">
        <w:r>
          <w:rPr>
            <w:color w:val="2E5C4E"/>
            <w:u w:val="single"/>
          </w:rPr>
          <w:t xml:space="preserve">The Insurance Contracts Act 1984 (Cth) condition</w:t>
        </w:r>
      </w:hyperlink>
      <w:r>
        <w:rPr>
          <w:b w:val="0"/>
          <w:i w:val="0"/>
        </w:rPr>
        <w:t xml:space="preserve"> applies.</w:t>
      </w:r>
    </w:p>
    <w:p>
      <w:bookmarkStart w:id="108" w:name="c_bpk_crime_social_engineering_verificat"/>
      <w:r>
        <w:rPr>
          <w:rFonts w:ascii="Georgia" w:hAnsi="Georgia" w:eastAsia="Georgia"/>
          <w:b/>
          <w:i w:val="0"/>
          <w:color w:val="2E5C4E"/>
          <w:sz w:val="25"/>
        </w:rPr>
        <w:t>Social Engineering Verification</w:t>
      </w:r>
      <w:bookmarkEnd w:id="108"/>
    </w:p>
    <w:p>
      <w:r>
        <w:rPr>
          <w:b w:val="0"/>
          <w:i w:val="0"/>
        </w:rPr>
        <w:t xml:space="preserve">For </w:t>
      </w:r>
      <w:hyperlink w:anchor="c_bpk_crime_cover_social_engineering_fra">
        <w:r>
          <w:rPr>
            <w:color w:val="2E5C4E"/>
            <w:u w:val="single"/>
          </w:rPr>
          <w:t xml:space="preserve">the Social Engineering Fraud clause</w:t>
        </w:r>
      </w:hyperlink>
      <w:r>
        <w:rPr>
          <w:b w:val="0"/>
          <w:i w:val="0"/>
        </w:rPr>
        <w:t xml:space="preserve">, we expect you to verify a request to change payment details by contacting the requester using contact details you held before the request. This is not a condition of cover. If you did not verify a request, we will not refuse the claim on that ground; we may reduce our payment only to the extent that failing to verify caused or contributed to the loss, as </w:t>
      </w:r>
      <w:hyperlink w:anchor="c_bpk_cond_insurance_contracts_act">
        <w:r>
          <w:rPr>
            <w:color w:val="2E5C4E"/>
            <w:u w:val="single"/>
          </w:rPr>
          <w:t xml:space="preserve">the Insurance Contracts Act 1984 (Cth) condition</w:t>
        </w:r>
      </w:hyperlink>
      <w:r>
        <w:rPr>
          <w:b w:val="0"/>
          <w:i w:val="0"/>
        </w:rPr>
        <w:t xml:space="preserve"> and s 54 of the Insurance Contracts Act 1984 (Cth) allow.</w:t>
      </w:r>
    </w:p>
    <w:p>
      <w:bookmarkStart w:id="109" w:name="c_bpk_crime_valuation_and_recoveries"/>
      <w:r>
        <w:rPr>
          <w:rFonts w:ascii="Georgia" w:hAnsi="Georgia" w:eastAsia="Georgia"/>
          <w:b/>
          <w:i w:val="0"/>
          <w:color w:val="2E5C4E"/>
          <w:sz w:val="25"/>
        </w:rPr>
        <w:t>Crime Valuation and Recoveries</w:t>
      </w:r>
      <w:bookmarkEnd w:id="109"/>
    </w:p>
    <w:p>
      <w:r>
        <w:rPr>
          <w:b w:val="0"/>
          <w:i w:val="0"/>
        </w:rPr>
        <w:t xml:space="preserve">We value Money at its face value and securities at their market value at the close of business on the day of Discovery, converted into Australian dollars at the Reserve Bank of Australia rate on that day. Other property is valued as </w:t>
      </w:r>
      <w:hyperlink w:anchor="c_bpk_pd_basis_of_settlement">
        <w:r>
          <w:rPr>
            <w:color w:val="2E5C4E"/>
            <w:u w:val="single"/>
          </w:rPr>
          <w:t xml:space="preserve">the Settling Property Damage provision</w:t>
        </w:r>
      </w:hyperlink>
      <w:r>
        <w:rPr>
          <w:b w:val="0"/>
          <w:i w:val="0"/>
        </w:rPr>
        <w:t xml:space="preserve"> provides. Amounts recovered after a loss are applied first to reimburse you for loss above the limit or within the Excess, then to us, then to you for any uninsured loss.</w:t>
      </w:r>
    </w:p>
    <w:p>
      <w:bookmarkStart w:id="110" w:name="c_bpk_crime_exclusions"/>
      <w:r>
        <w:rPr>
          <w:rFonts w:ascii="Georgia" w:hAnsi="Georgia" w:eastAsia="Georgia"/>
          <w:b/>
          <w:i w:val="0"/>
          <w:color w:val="2E5C4E"/>
          <w:sz w:val="25"/>
        </w:rPr>
        <w:t>Comprehensive Crime Exclusions</w:t>
      </w:r>
      <w:bookmarkEnd w:id="110"/>
    </w:p>
    <w:p>
      <w:r>
        <w:rPr>
          <w:b w:val="0"/>
          <w:i w:val="0"/>
        </w:rPr>
        <w:t xml:space="preserve">In addition to </w:t>
      </w:r>
      <w:hyperlink w:anchor="c_bpk_section_general_exclusions">
        <w:r>
          <w:rPr>
            <w:color w:val="2E5C4E"/>
            <w:u w:val="single"/>
          </w:rPr>
          <w:t xml:space="preserve">the General Exclusions section</w:t>
        </w:r>
      </w:hyperlink>
      <w:r>
        <w:rPr>
          <w:b w:val="0"/>
          <w:i w:val="0"/>
        </w:rPr>
        <w:t xml:space="preserve"> (other than </w:t>
      </w:r>
      <w:hyperlink w:anchor="c_bpk_excl_deliberate_acts">
        <w:r>
          <w:rPr>
            <w:color w:val="2E5C4E"/>
            <w:u w:val="single"/>
          </w:rPr>
          <w:t xml:space="preserve">the Deliberate Acts exclusion</w:t>
        </w:r>
      </w:hyperlink>
      <w:r>
        <w:rPr>
          <w:b w:val="0"/>
          <w:i w:val="0"/>
        </w:rPr>
        <w:t xml:space="preserve">, which applies as it states), we do not cover under </w:t>
      </w:r>
      <w:hyperlink w:anchor="c_bpk_section_crime">
        <w:r>
          <w:rPr>
            <w:color w:val="2E5C4E"/>
            <w:u w:val="single"/>
          </w:rPr>
          <w:t xml:space="preserve">the Comprehensive Crime section</w:t>
        </w:r>
      </w:hyperlink>
      <w:r>
        <w:rPr>
          <w:b w:val="0"/>
          <w:i w:val="0"/>
        </w:rPr>
        <w:t>:</w:t>
      </w:r>
    </w:p>
    <w:p>
      <w:pPr>
        <w:pStyle w:val="ListBullet"/>
      </w:pPr>
      <w:r>
        <w:rPr>
          <w:b w:val="0"/>
          <w:i w:val="0"/>
        </w:rPr>
        <w:t>loss discovered before the Period of Insurance or reported under an earlier policy;</w:t>
      </w:r>
    </w:p>
    <w:p>
      <w:pPr>
        <w:pStyle w:val="ListBullet"/>
      </w:pPr>
      <w:r>
        <w:rPr>
          <w:b w:val="0"/>
          <w:i w:val="0"/>
        </w:rPr>
        <w:t>loss caused by an Employee after a Responsible person knew of a previous Dishonest act by that Employee;</w:t>
      </w:r>
    </w:p>
    <w:p>
      <w:pPr>
        <w:pStyle w:val="ListBullet"/>
      </w:pPr>
      <w:r>
        <w:rPr>
          <w:b w:val="0"/>
          <w:i w:val="0"/>
        </w:rPr>
        <w:t>inventory or profit-and-loss shortages proved only by comparing records;</w:t>
      </w:r>
    </w:p>
    <w:p>
      <w:pPr>
        <w:pStyle w:val="ListBullet"/>
      </w:pPr>
      <w:r>
        <w:rPr>
          <w:b w:val="0"/>
          <w:i w:val="0"/>
        </w:rPr>
        <w:t>loss from an unattended vehicle unless locked and the property concealed from view;</w:t>
      </w:r>
    </w:p>
    <w:p>
      <w:pPr>
        <w:pStyle w:val="ListBullet"/>
      </w:pPr>
      <w:r>
        <w:rPr>
          <w:b w:val="0"/>
          <w:i w:val="0"/>
        </w:rPr>
        <w:t>indirect or consequential loss;</w:t>
      </w:r>
    </w:p>
    <w:p>
      <w:pPr>
        <w:pStyle w:val="ListBullet"/>
      </w:pPr>
      <w:r>
        <w:rPr>
          <w:b w:val="0"/>
          <w:i w:val="0"/>
        </w:rPr>
        <w:t>costs of investigating a loss, except as shown in the Schedule;</w:t>
      </w:r>
    </w:p>
    <w:p>
      <w:pPr>
        <w:pStyle w:val="ListBullet"/>
      </w:pPr>
      <w:r>
        <w:rPr>
          <w:b w:val="0"/>
          <w:i w:val="0"/>
        </w:rPr>
        <w:t>loss of cryptocurrency or other digital assets; and</w:t>
      </w:r>
    </w:p>
    <w:p>
      <w:pPr>
        <w:pStyle w:val="ListBullet"/>
      </w:pPr>
      <w:r>
        <w:rPr>
          <w:b w:val="0"/>
          <w:i w:val="0"/>
        </w:rPr>
        <w:t xml:space="preserve">a transfer under </w:t>
      </w:r>
      <w:hyperlink w:anchor="c_bpk_crime_cover_social_engineering_fra">
        <w:r>
          <w:rPr>
            <w:color w:val="2E5C4E"/>
            <w:u w:val="single"/>
          </w:rPr>
          <w:t xml:space="preserve">the Social Engineering Fraud clause</w:t>
        </w:r>
      </w:hyperlink>
      <w:r>
        <w:rPr>
          <w:b w:val="0"/>
          <w:i w:val="0"/>
        </w:rPr>
        <w:t xml:space="preserve"> where the Schedule does not show that clause as operative.</w:t>
      </w:r>
    </w:p>
    <w:p>
      <w:bookmarkStart w:id="111" w:name="c_bpk_section_glass"/>
      <w:r>
        <w:rPr>
          <w:rFonts w:ascii="Georgia" w:hAnsi="Georgia" w:eastAsia="Georgia"/>
          <w:b/>
          <w:i w:val="0"/>
          <w:color w:val="1C1915"/>
          <w:sz w:val="32"/>
        </w:rPr>
        <w:t>Glass</w:t>
      </w:r>
      <w:bookmarkEnd w:id="111"/>
    </w:p>
    <w:p>
      <w:r>
        <w:rPr>
          <w:b w:val="0"/>
          <w:i w:val="0"/>
        </w:rPr>
        <w:t>Written for each Situation.</w:t>
      </w:r>
    </w:p>
    <w:p>
      <w:bookmarkStart w:id="112" w:name="c_bpk_glass_cover"/>
      <w:r>
        <w:rPr>
          <w:rFonts w:ascii="Georgia" w:hAnsi="Georgia" w:eastAsia="Georgia"/>
          <w:b/>
          <w:i w:val="0"/>
          <w:color w:val="2E5C4E"/>
          <w:sz w:val="25"/>
        </w:rPr>
        <w:t>Glass Breakage</w:t>
      </w:r>
      <w:bookmarkEnd w:id="112"/>
    </w:p>
    <w:p>
      <w:r>
        <w:rPr>
          <w:b w:val="0"/>
          <w:i w:val="0"/>
        </w:rPr>
        <w:t>We will pay for accidental breakage, during the Period of Insurance, of fixed glass, mirrors, glass shelving and counter tops, illuminated signs shown in the Schedule, and lettering or ornamentation on broken glass at a Situation, up to the glass Sum insured for that Situation. We settle by replacing with glass of equivalent quality.</w:t>
      </w:r>
    </w:p>
    <w:p>
      <w:bookmarkStart w:id="113" w:name="c_bpk_glass_additional_benefits"/>
      <w:r>
        <w:rPr>
          <w:rFonts w:ascii="Georgia" w:hAnsi="Georgia" w:eastAsia="Georgia"/>
          <w:b/>
          <w:i w:val="0"/>
          <w:color w:val="2E5C4E"/>
          <w:sz w:val="25"/>
        </w:rPr>
        <w:t>Glass Additional Benefits</w:t>
      </w:r>
      <w:bookmarkEnd w:id="113"/>
    </w:p>
    <w:p>
      <w:r>
        <w:rPr>
          <w:b w:val="0"/>
          <w:i w:val="0"/>
        </w:rPr>
        <w:t xml:space="preserve">Each up to the sub-limit shown in the Schedule (defaults in </w:t>
      </w:r>
      <w:hyperlink w:anchor="c_bpk_appendix_default_schedule_values">
        <w:r>
          <w:rPr>
            <w:color w:val="2E5C4E"/>
            <w:u w:val="single"/>
          </w:rPr>
          <w:t xml:space="preserve">the Default Schedule Values</w:t>
        </w:r>
      </w:hyperlink>
      <w:r>
        <w:rPr>
          <w:b w:val="0"/>
          <w:i w:val="0"/>
        </w:rPr>
        <w:t>):</w:t>
      </w:r>
    </w:p>
    <w:p>
      <w:pPr>
        <w:pStyle w:val="ListBullet"/>
      </w:pPr>
      <w:r>
        <w:rPr>
          <w:b w:val="0"/>
          <w:i w:val="0"/>
        </w:rPr>
        <w:t>temporary boarding up;</w:t>
      </w:r>
    </w:p>
    <w:p>
      <w:pPr>
        <w:pStyle w:val="ListBullet"/>
      </w:pPr>
      <w:r>
        <w:rPr>
          <w:b w:val="0"/>
          <w:i w:val="0"/>
        </w:rPr>
        <w:t>frame damage caused by the breakage;</w:t>
      </w:r>
    </w:p>
    <w:p>
      <w:pPr>
        <w:pStyle w:val="ListBullet"/>
      </w:pPr>
      <w:r>
        <w:rPr>
          <w:b w:val="0"/>
          <w:i w:val="0"/>
        </w:rPr>
        <w:t>Damage to Stock in display windows caused by the breakage; and</w:t>
      </w:r>
    </w:p>
    <w:p>
      <w:pPr>
        <w:pStyle w:val="ListBullet"/>
      </w:pPr>
      <w:r>
        <w:rPr>
          <w:b w:val="0"/>
          <w:i w:val="0"/>
        </w:rPr>
        <w:t>alarm reconnection.</w:t>
      </w:r>
    </w:p>
    <w:p>
      <w:bookmarkStart w:id="114" w:name="c_bpk_glass_exclusions"/>
      <w:r>
        <w:rPr>
          <w:rFonts w:ascii="Georgia" w:hAnsi="Georgia" w:eastAsia="Georgia"/>
          <w:b/>
          <w:i w:val="0"/>
          <w:color w:val="2E5C4E"/>
          <w:sz w:val="25"/>
        </w:rPr>
        <w:t>Glass Exclusions</w:t>
      </w:r>
      <w:bookmarkEnd w:id="114"/>
    </w:p>
    <w:p>
      <w:r>
        <w:rPr>
          <w:b w:val="0"/>
          <w:i w:val="0"/>
        </w:rPr>
        <w:t xml:space="preserve">In addition to </w:t>
      </w:r>
      <w:hyperlink w:anchor="c_bpk_section_general_exclusions">
        <w:r>
          <w:rPr>
            <w:color w:val="2E5C4E"/>
            <w:u w:val="single"/>
          </w:rPr>
          <w:t xml:space="preserve">the General Exclusions section</w:t>
        </w:r>
      </w:hyperlink>
      <w:r>
        <w:rPr>
          <w:b w:val="0"/>
          <w:i w:val="0"/>
        </w:rPr>
        <w:t xml:space="preserve">, we do not cover under </w:t>
      </w:r>
      <w:hyperlink w:anchor="c_bpk_section_glass">
        <w:r>
          <w:rPr>
            <w:color w:val="2E5C4E"/>
            <w:u w:val="single"/>
          </w:rPr>
          <w:t xml:space="preserve">the Glass section</w:t>
        </w:r>
      </w:hyperlink>
      <w:r>
        <w:rPr>
          <w:b w:val="0"/>
          <w:i w:val="0"/>
        </w:rPr>
        <w:t>:</w:t>
      </w:r>
    </w:p>
    <w:p>
      <w:pPr>
        <w:pStyle w:val="ListBullet"/>
      </w:pPr>
      <w:r>
        <w:rPr>
          <w:b w:val="0"/>
          <w:i w:val="0"/>
        </w:rPr>
        <w:t>scratching or chipping;</w:t>
      </w:r>
    </w:p>
    <w:p>
      <w:pPr>
        <w:pStyle w:val="ListBullet"/>
      </w:pPr>
      <w:r>
        <w:rPr>
          <w:b w:val="0"/>
          <w:i w:val="0"/>
        </w:rPr>
        <w:t>glass in vehicles;</w:t>
      </w:r>
    </w:p>
    <w:p>
      <w:pPr>
        <w:pStyle w:val="ListBullet"/>
      </w:pPr>
      <w:r>
        <w:rPr>
          <w:b w:val="0"/>
          <w:i w:val="0"/>
        </w:rPr>
        <w:t>glass being removed, installed or worked on; and</w:t>
      </w:r>
    </w:p>
    <w:p>
      <w:pPr>
        <w:pStyle w:val="ListBullet"/>
      </w:pPr>
      <w:r>
        <w:rPr>
          <w:b w:val="0"/>
          <w:i w:val="0"/>
        </w:rPr>
        <w:t>breakage in Premises under construction or alteration.</w:t>
      </w:r>
    </w:p>
    <w:p>
      <w:bookmarkStart w:id="115" w:name="c_bpk_section_liability"/>
      <w:r>
        <w:rPr>
          <w:rFonts w:ascii="Georgia" w:hAnsi="Georgia" w:eastAsia="Georgia"/>
          <w:b/>
          <w:i w:val="0"/>
          <w:color w:val="1C1915"/>
          <w:sz w:val="32"/>
        </w:rPr>
        <w:t>Public and Products Liability</w:t>
      </w:r>
      <w:bookmarkEnd w:id="115"/>
    </w:p>
    <w:p>
      <w:r>
        <w:rPr>
          <w:b w:val="0"/>
          <w:i w:val="0"/>
        </w:rPr>
        <w:t>Written once for the Business.</w:t>
      </w:r>
    </w:p>
    <w:p>
      <w:bookmarkStart w:id="116" w:name="c_bpk_liability_cover"/>
      <w:r>
        <w:rPr>
          <w:rFonts w:ascii="Georgia" w:hAnsi="Georgia" w:eastAsia="Georgia"/>
          <w:b/>
          <w:i w:val="0"/>
          <w:color w:val="2E5C4E"/>
          <w:sz w:val="25"/>
        </w:rPr>
        <w:t>Liability for Injury and Damage</w:t>
      </w:r>
      <w:bookmarkEnd w:id="116"/>
    </w:p>
    <w:p>
      <w:r>
        <w:rPr>
          <w:b w:val="0"/>
          <w:i w:val="0"/>
        </w:rPr>
        <w:t>We will pay the compensation you become legally liable to pay for Personal injury or Property damage that happens during the Period of Insurance within the geographical limits shown in the Schedule, in connection with the Business, and for Personal injury or Property damage caused by Your products after they have left your possession. We also pay defence costs we approve. Defence costs are paid in addition to the limit.</w:t>
      </w:r>
    </w:p>
    <w:p>
      <w:bookmarkStart w:id="117" w:name="c_bpk_liability_limits"/>
      <w:r>
        <w:rPr>
          <w:rFonts w:ascii="Georgia" w:hAnsi="Georgia" w:eastAsia="Georgia"/>
          <w:b/>
          <w:i w:val="0"/>
          <w:color w:val="2E5C4E"/>
          <w:sz w:val="25"/>
        </w:rPr>
        <w:t>Liability Limits</w:t>
      </w:r>
      <w:bookmarkEnd w:id="117"/>
    </w:p>
    <w:p>
      <w:r>
        <w:rPr>
          <w:b w:val="0"/>
          <w:i w:val="0"/>
        </w:rPr>
        <w:t>The limit shown in the Schedule is the most we pay for each Occurrence. For Personal injury or Property damage caused by Your products, the limit is also the most we pay for all Occurrences in the Period of Insurance.</w:t>
      </w:r>
    </w:p>
    <w:p>
      <w:bookmarkStart w:id="118" w:name="c_bpk_liability_additional_benefits"/>
      <w:r>
        <w:rPr>
          <w:rFonts w:ascii="Georgia" w:hAnsi="Georgia" w:eastAsia="Georgia"/>
          <w:b/>
          <w:i w:val="0"/>
          <w:color w:val="2E5C4E"/>
          <w:sz w:val="25"/>
        </w:rPr>
        <w:t>Liability Additional Benefits</w:t>
      </w:r>
      <w:bookmarkEnd w:id="118"/>
    </w:p>
    <w:p>
      <w:r>
        <w:rPr>
          <w:b w:val="0"/>
          <w:i w:val="0"/>
        </w:rPr>
        <w:t xml:space="preserve">Each up to the sub-limit shown in the Schedule (defaults in </w:t>
      </w:r>
      <w:hyperlink w:anchor="c_bpk_appendix_default_schedule_values">
        <w:r>
          <w:rPr>
            <w:color w:val="2E5C4E"/>
            <w:u w:val="single"/>
          </w:rPr>
          <w:t xml:space="preserve">the Default Schedule Values</w:t>
        </w:r>
      </w:hyperlink>
      <w:r>
        <w:rPr>
          <w:b w:val="0"/>
          <w:i w:val="0"/>
        </w:rPr>
        <w:t>), within the limit:</w:t>
      </w:r>
    </w:p>
    <w:p>
      <w:pPr>
        <w:pStyle w:val="ListBullet"/>
      </w:pPr>
      <w:r>
        <w:rPr>
          <w:b w:val="0"/>
          <w:i w:val="0"/>
        </w:rPr>
        <w:t>tenants' liability for damage to leased premises;</w:t>
      </w:r>
    </w:p>
    <w:p>
      <w:pPr>
        <w:pStyle w:val="ListBullet"/>
      </w:pPr>
      <w:r>
        <w:rPr>
          <w:b w:val="0"/>
          <w:i w:val="0"/>
        </w:rPr>
        <w:t>property in your physical or legal control;</w:t>
      </w:r>
    </w:p>
    <w:p>
      <w:pPr>
        <w:pStyle w:val="ListBullet"/>
      </w:pPr>
      <w:r>
        <w:rPr>
          <w:b w:val="0"/>
          <w:i w:val="0"/>
        </w:rPr>
        <w:t>statutory defence costs;</w:t>
      </w:r>
    </w:p>
    <w:p>
      <w:pPr>
        <w:pStyle w:val="ListBullet"/>
      </w:pPr>
      <w:r>
        <w:rPr>
          <w:b w:val="0"/>
          <w:i w:val="0"/>
        </w:rPr>
        <w:t>wrongful arrest;</w:t>
      </w:r>
    </w:p>
    <w:p>
      <w:pPr>
        <w:pStyle w:val="ListBullet"/>
      </w:pPr>
      <w:r>
        <w:rPr>
          <w:b w:val="0"/>
          <w:i w:val="0"/>
        </w:rPr>
        <w:t>emergency medical expenses; and</w:t>
      </w:r>
    </w:p>
    <w:p>
      <w:pPr>
        <w:pStyle w:val="ListBullet"/>
      </w:pPr>
      <w:r>
        <w:rPr>
          <w:b w:val="0"/>
          <w:i w:val="0"/>
        </w:rPr>
        <w:t>damage to underground services where you followed the before-you-dig enquiry process.</w:t>
      </w:r>
    </w:p>
    <w:p>
      <w:bookmarkStart w:id="119" w:name="c_bpk_liability_exclusions"/>
      <w:r>
        <w:rPr>
          <w:rFonts w:ascii="Georgia" w:hAnsi="Georgia" w:eastAsia="Georgia"/>
          <w:b/>
          <w:i w:val="0"/>
          <w:color w:val="2E5C4E"/>
          <w:sz w:val="25"/>
        </w:rPr>
        <w:t>How the Liability Exclusions Apply</w:t>
      </w:r>
      <w:bookmarkEnd w:id="119"/>
    </w:p>
    <w:p>
      <w:r>
        <w:rPr>
          <w:b w:val="0"/>
          <w:i w:val="0"/>
        </w:rPr>
        <w:t xml:space="preserve">We do not cover liability for or arising from the matters in the exclusions that follow in </w:t>
      </w:r>
      <w:hyperlink w:anchor="c_bpk_section_liability">
        <w:r>
          <w:rPr>
            <w:color w:val="2E5C4E"/>
            <w:u w:val="single"/>
          </w:rPr>
          <w:t xml:space="preserve">the Public and Products Liability section</w:t>
        </w:r>
      </w:hyperlink>
      <w:r>
        <w:rPr>
          <w:b w:val="0"/>
          <w:i w:val="0"/>
        </w:rPr>
        <w:t xml:space="preserve">. </w:t>
      </w:r>
      <w:hyperlink w:anchor="c_bpk_excl_asbestos">
        <w:r>
          <w:rPr>
            <w:color w:val="2E5C4E"/>
            <w:u w:val="single"/>
          </w:rPr>
          <w:t xml:space="preserve">The Asbestos exclusion</w:t>
        </w:r>
      </w:hyperlink>
      <w:r>
        <w:rPr>
          <w:b w:val="0"/>
          <w:i w:val="0"/>
        </w:rPr>
        <w:t xml:space="preserve"> also applies to this section.</w:t>
      </w:r>
    </w:p>
    <w:p>
      <w:bookmarkStart w:id="120" w:name="c_bpk_liability_excl_injury_to_employees"/>
      <w:r>
        <w:rPr>
          <w:rFonts w:ascii="Georgia" w:hAnsi="Georgia" w:eastAsia="Georgia"/>
          <w:b/>
          <w:i w:val="0"/>
          <w:color w:val="2E5C4E"/>
          <w:sz w:val="25"/>
        </w:rPr>
        <w:t>Injury to Employees</w:t>
      </w:r>
      <w:bookmarkEnd w:id="120"/>
    </w:p>
    <w:p>
      <w:r>
        <w:rPr>
          <w:b w:val="0"/>
          <w:i w:val="0"/>
        </w:rPr>
        <w:t>Personal injury to an Employee arising from employment, where workers' compensation legislation applies or should apply.</w:t>
      </w:r>
    </w:p>
    <w:p>
      <w:bookmarkStart w:id="121" w:name="c_bpk_liability_excl_professional_servic"/>
      <w:r>
        <w:rPr>
          <w:rFonts w:ascii="Georgia" w:hAnsi="Georgia" w:eastAsia="Georgia"/>
          <w:b/>
          <w:i w:val="0"/>
          <w:color w:val="2E5C4E"/>
          <w:sz w:val="25"/>
        </w:rPr>
        <w:t>Professional Services</w:t>
      </w:r>
      <w:bookmarkEnd w:id="121"/>
    </w:p>
    <w:p>
      <w:r>
        <w:rPr>
          <w:b w:val="0"/>
          <w:i w:val="0"/>
        </w:rPr>
        <w:t>Professional advice or services given for a fee.</w:t>
      </w:r>
    </w:p>
    <w:p>
      <w:bookmarkStart w:id="122" w:name="c_bpk_liability_excl_vehicles_aircraft_w"/>
      <w:r>
        <w:rPr>
          <w:rFonts w:ascii="Georgia" w:hAnsi="Georgia" w:eastAsia="Georgia"/>
          <w:b/>
          <w:i w:val="0"/>
          <w:color w:val="2E5C4E"/>
          <w:sz w:val="25"/>
        </w:rPr>
        <w:t>Vehicles, Aircraft and Watercraft</w:t>
      </w:r>
      <w:bookmarkEnd w:id="122"/>
    </w:p>
    <w:p>
      <w:r>
        <w:rPr>
          <w:b w:val="0"/>
          <w:i w:val="0"/>
        </w:rPr>
        <w:t>The use of motor vehicles that must be registered, and aircraft or watercraft longer than the length shown in the Schedule.</w:t>
      </w:r>
    </w:p>
    <w:p>
      <w:bookmarkStart w:id="123" w:name="c_bpk_liability_excl_your_own_property"/>
      <w:r>
        <w:rPr>
          <w:rFonts w:ascii="Georgia" w:hAnsi="Georgia" w:eastAsia="Georgia"/>
          <w:b/>
          <w:i w:val="0"/>
          <w:color w:val="2E5C4E"/>
          <w:sz w:val="25"/>
        </w:rPr>
        <w:t>Your Own Property</w:t>
      </w:r>
      <w:bookmarkEnd w:id="123"/>
    </w:p>
    <w:p>
      <w:r>
        <w:rPr>
          <w:b w:val="0"/>
          <w:i w:val="0"/>
        </w:rPr>
        <w:t>Property damage to property you own.</w:t>
      </w:r>
    </w:p>
    <w:p>
      <w:bookmarkStart w:id="124" w:name="c_bpk_liability_excl_product_recall"/>
      <w:r>
        <w:rPr>
          <w:rFonts w:ascii="Georgia" w:hAnsi="Georgia" w:eastAsia="Georgia"/>
          <w:b/>
          <w:i w:val="0"/>
          <w:color w:val="2E5C4E"/>
          <w:sz w:val="25"/>
        </w:rPr>
        <w:t>Product Recall</w:t>
      </w:r>
      <w:bookmarkEnd w:id="124"/>
    </w:p>
    <w:p>
      <w:r>
        <w:rPr>
          <w:b w:val="0"/>
          <w:i w:val="0"/>
        </w:rPr>
        <w:t>The cost of recalling, repairing or replacing Your products.</w:t>
      </w:r>
    </w:p>
    <w:p>
      <w:bookmarkStart w:id="125" w:name="c_bpk_liability_excl_fines_and_punitive_"/>
      <w:r>
        <w:rPr>
          <w:rFonts w:ascii="Georgia" w:hAnsi="Georgia" w:eastAsia="Georgia"/>
          <w:b/>
          <w:i w:val="0"/>
          <w:color w:val="2E5C4E"/>
          <w:sz w:val="25"/>
        </w:rPr>
        <w:t>Fines, Penalties and Punitive Damages</w:t>
      </w:r>
      <w:bookmarkEnd w:id="125"/>
    </w:p>
    <w:p>
      <w:r>
        <w:rPr>
          <w:b w:val="0"/>
          <w:i w:val="0"/>
        </w:rPr>
        <w:t>Fines and penalties, and punitive, exemplary or aggravated damages.</w:t>
      </w:r>
    </w:p>
    <w:p>
      <w:bookmarkStart w:id="126" w:name="c_bpk_liability_excl_contractual_liabili"/>
      <w:r>
        <w:rPr>
          <w:rFonts w:ascii="Georgia" w:hAnsi="Georgia" w:eastAsia="Georgia"/>
          <w:b/>
          <w:i w:val="0"/>
          <w:color w:val="2E5C4E"/>
          <w:sz w:val="25"/>
        </w:rPr>
        <w:t>Contractual Liability</w:t>
      </w:r>
      <w:bookmarkEnd w:id="126"/>
    </w:p>
    <w:p>
      <w:r>
        <w:rPr>
          <w:b w:val="0"/>
          <w:i w:val="0"/>
        </w:rPr>
        <w:t>Liability you assume under contract beyond what you would have at law, except under an insured contract shown in the Schedule.</w:t>
      </w:r>
    </w:p>
    <w:p>
      <w:bookmarkStart w:id="127" w:name="c_bpk_liability_excl_pollution"/>
      <w:r>
        <w:rPr>
          <w:rFonts w:ascii="Georgia" w:hAnsi="Georgia" w:eastAsia="Georgia"/>
          <w:b/>
          <w:i w:val="0"/>
          <w:color w:val="2E5C4E"/>
          <w:sz w:val="25"/>
        </w:rPr>
        <w:t>Pollution (Liability)</w:t>
      </w:r>
      <w:bookmarkEnd w:id="127"/>
    </w:p>
    <w:p>
      <w:r>
        <w:rPr>
          <w:b w:val="0"/>
          <w:i w:val="0"/>
        </w:rPr>
        <w:t>Pollution, unless it is sudden, identifiable, unintended and unexpected, happens at one time and place, and is discovered within 72 hours.</w:t>
      </w:r>
    </w:p>
    <w:p>
      <w:bookmarkStart w:id="128" w:name="c_bpk_liability_excl_usa_canada"/>
      <w:r>
        <w:rPr>
          <w:rFonts w:ascii="Georgia" w:hAnsi="Georgia" w:eastAsia="Georgia"/>
          <w:b/>
          <w:i w:val="0"/>
          <w:color w:val="2E5C4E"/>
          <w:sz w:val="25"/>
        </w:rPr>
        <w:t>USA and Canada</w:t>
      </w:r>
      <w:bookmarkEnd w:id="128"/>
    </w:p>
    <w:p>
      <w:r>
        <w:rPr>
          <w:b w:val="0"/>
          <w:i w:val="0"/>
        </w:rPr>
        <w:t>Your products exported to, or claims brought in, the United States of America or Canada, unless the Schedule shows otherwise.</w:t>
      </w:r>
    </w:p>
    <w:p>
      <w:bookmarkStart w:id="129" w:name="c_bpk_liability_excl_hot_works"/>
      <w:r>
        <w:rPr>
          <w:rFonts w:ascii="Georgia" w:hAnsi="Georgia" w:eastAsia="Georgia"/>
          <w:b/>
          <w:i w:val="0"/>
          <w:color w:val="2E5C4E"/>
          <w:sz w:val="25"/>
        </w:rPr>
        <w:t>Hot Works Away From Your Premises</w:t>
      </w:r>
      <w:bookmarkEnd w:id="129"/>
    </w:p>
    <w:p>
      <w:r>
        <w:rPr>
          <w:b w:val="0"/>
          <w:i w:val="0"/>
        </w:rPr>
        <w:t xml:space="preserve">Hot works away from your Premises, unless </w:t>
      </w:r>
      <w:hyperlink w:anchor="c_bpk_end_e10">
        <w:r>
          <w:rPr>
            <w:color w:val="2E5C4E"/>
            <w:u w:val="single"/>
          </w:rPr>
          <w:t xml:space="preserve">the E10 Hot Works endorsement</w:t>
        </w:r>
      </w:hyperlink>
      <w:r>
        <w:rPr>
          <w:b w:val="0"/>
          <w:i w:val="0"/>
        </w:rPr>
        <w:t xml:space="preserve"> is operative.</w:t>
      </w:r>
    </w:p>
    <w:p>
      <w:bookmarkStart w:id="130" w:name="c_bpk_liability_excl_vibration_and_suppo"/>
      <w:r>
        <w:rPr>
          <w:rFonts w:ascii="Georgia" w:hAnsi="Georgia" w:eastAsia="Georgia"/>
          <w:b/>
          <w:i w:val="0"/>
          <w:color w:val="2E5C4E"/>
          <w:sz w:val="25"/>
        </w:rPr>
        <w:t>Vibration and Removal of Support</w:t>
      </w:r>
      <w:bookmarkEnd w:id="130"/>
    </w:p>
    <w:p>
      <w:r>
        <w:rPr>
          <w:b w:val="0"/>
          <w:i w:val="0"/>
        </w:rPr>
        <w:t xml:space="preserve">Vibration, or the removal or weakening of support, of land or property, except as covered by the underground services benefit in </w:t>
      </w:r>
      <w:hyperlink w:anchor="c_bpk_liability_additional_benefits">
        <w:r>
          <w:rPr>
            <w:color w:val="2E5C4E"/>
            <w:u w:val="single"/>
          </w:rPr>
          <w:t xml:space="preserve">the Liability Additional Benefits extension</w:t>
        </w:r>
      </w:hyperlink>
      <w:r>
        <w:rPr>
          <w:b w:val="0"/>
          <w:i w:val="0"/>
        </w:rPr>
        <w:t>.</w:t>
      </w:r>
    </w:p>
    <w:p>
      <w:bookmarkStart w:id="131" w:name="c_bpk_section_equipment"/>
      <w:r>
        <w:rPr>
          <w:rFonts w:ascii="Georgia" w:hAnsi="Georgia" w:eastAsia="Georgia"/>
          <w:b/>
          <w:i w:val="0"/>
          <w:color w:val="1C1915"/>
          <w:sz w:val="32"/>
        </w:rPr>
        <w:t>Equipment Damage</w:t>
      </w:r>
      <w:bookmarkEnd w:id="131"/>
    </w:p>
    <w:p>
      <w:r>
        <w:rPr>
          <w:b w:val="0"/>
          <w:i w:val="0"/>
        </w:rPr>
        <w:t>Written for each Situation.</w:t>
      </w:r>
    </w:p>
    <w:p>
      <w:bookmarkStart w:id="132" w:name="c_bpk_equipment_cover"/>
      <w:r>
        <w:rPr>
          <w:rFonts w:ascii="Georgia" w:hAnsi="Georgia" w:eastAsia="Georgia"/>
          <w:b/>
          <w:i w:val="0"/>
          <w:color w:val="2E5C4E"/>
          <w:sz w:val="25"/>
        </w:rPr>
        <w:t>Equipment Breakdown and Damage</w:t>
      </w:r>
      <w:bookmarkEnd w:id="132"/>
    </w:p>
    <w:p>
      <w:r>
        <w:rPr>
          <w:b w:val="0"/>
          <w:i w:val="0"/>
        </w:rPr>
        <w:t>We will pay for Damage to plant, machinery and electronic equipment at a Situation caused by Breakdown, power surge, or accidental damage during the Period of Insurance, up to the equipment Sum insured for that Situation.</w:t>
      </w:r>
    </w:p>
    <w:p>
      <w:bookmarkStart w:id="133" w:name="c_bpk_equipment_basis_of_settlement"/>
      <w:r>
        <w:rPr>
          <w:rFonts w:ascii="Georgia" w:hAnsi="Georgia" w:eastAsia="Georgia"/>
          <w:b/>
          <w:i w:val="0"/>
          <w:color w:val="2E5C4E"/>
          <w:sz w:val="25"/>
        </w:rPr>
        <w:t>Settling Equipment Damage</w:t>
      </w:r>
      <w:bookmarkEnd w:id="133"/>
    </w:p>
    <w:p>
      <w:r>
        <w:rPr>
          <w:b w:val="0"/>
          <w:i w:val="0"/>
        </w:rPr>
        <w:t>We pay the cost of repair, or of replacement with equipment of equivalent specification, less an allowance for wear and tear for items older than the age shown in the Schedule. For electronic equipment we include the cost of reinstating data and programs from backup media up to the data restoration sub-limit.</w:t>
      </w:r>
    </w:p>
    <w:p>
      <w:bookmarkStart w:id="134" w:name="c_bpk_equipment_underinsurance"/>
      <w:r>
        <w:rPr>
          <w:rFonts w:ascii="Georgia" w:hAnsi="Georgia" w:eastAsia="Georgia"/>
          <w:b/>
          <w:i w:val="0"/>
          <w:color w:val="2E5C4E"/>
          <w:sz w:val="25"/>
        </w:rPr>
        <w:t>Underinsurance (Equipment)</w:t>
      </w:r>
      <w:bookmarkEnd w:id="134"/>
    </w:p>
    <w:p>
      <w:hyperlink w:anchor="c_bpk_pd_underinsurance">
        <w:r>
          <w:rPr>
            <w:color w:val="2E5C4E"/>
            <w:u w:val="single"/>
          </w:rPr>
          <w:t xml:space="preserve">The Underinsurance (Property) provision</w:t>
        </w:r>
      </w:hyperlink>
      <w:r>
        <w:rPr>
          <w:b w:val="0"/>
          <w:i w:val="0"/>
        </w:rPr>
        <w:t xml:space="preserve"> applies to the equipment Sum insured.</w:t>
      </w:r>
    </w:p>
    <w:p>
      <w:bookmarkStart w:id="135" w:name="c_bpk_equipment_additional_benefits"/>
      <w:r>
        <w:rPr>
          <w:rFonts w:ascii="Georgia" w:hAnsi="Georgia" w:eastAsia="Georgia"/>
          <w:b/>
          <w:i w:val="0"/>
          <w:color w:val="2E5C4E"/>
          <w:sz w:val="25"/>
        </w:rPr>
        <w:t>Equipment Additional Benefits</w:t>
      </w:r>
      <w:bookmarkEnd w:id="135"/>
    </w:p>
    <w:p>
      <w:r>
        <w:rPr>
          <w:b w:val="0"/>
          <w:i w:val="0"/>
        </w:rPr>
        <w:t xml:space="preserve">Each up to the sub-limit shown in the Schedule (defaults in </w:t>
      </w:r>
      <w:hyperlink w:anchor="c_bpk_appendix_default_schedule_values">
        <w:r>
          <w:rPr>
            <w:color w:val="2E5C4E"/>
            <w:u w:val="single"/>
          </w:rPr>
          <w:t xml:space="preserve">the Default Schedule Values</w:t>
        </w:r>
      </w:hyperlink>
      <w:r>
        <w:rPr>
          <w:b w:val="0"/>
          <w:i w:val="0"/>
        </w:rPr>
        <w:t>):</w:t>
      </w:r>
    </w:p>
    <w:p>
      <w:pPr>
        <w:pStyle w:val="ListBullet"/>
      </w:pPr>
      <w:r>
        <w:rPr>
          <w:b w:val="0"/>
          <w:i w:val="0"/>
        </w:rPr>
        <w:t>expediting costs;</w:t>
      </w:r>
    </w:p>
    <w:p>
      <w:pPr>
        <w:pStyle w:val="ListBullet"/>
      </w:pPr>
      <w:r>
        <w:rPr>
          <w:b w:val="0"/>
          <w:i w:val="0"/>
        </w:rPr>
        <w:t>deterioration of refrigerated Stock;</w:t>
      </w:r>
    </w:p>
    <w:p>
      <w:pPr>
        <w:pStyle w:val="ListBullet"/>
      </w:pPr>
      <w:r>
        <w:rPr>
          <w:b w:val="0"/>
          <w:i w:val="0"/>
        </w:rPr>
        <w:t>hire of temporary replacement equipment;</w:t>
      </w:r>
    </w:p>
    <w:p>
      <w:pPr>
        <w:pStyle w:val="ListBullet"/>
      </w:pPr>
      <w:r>
        <w:rPr>
          <w:b w:val="0"/>
          <w:i w:val="0"/>
        </w:rPr>
        <w:t>data restoration; and</w:t>
      </w:r>
    </w:p>
    <w:p>
      <w:pPr>
        <w:pStyle w:val="ListBullet"/>
      </w:pPr>
      <w:r>
        <w:rPr>
          <w:b w:val="0"/>
          <w:i w:val="0"/>
        </w:rPr>
        <w:t>increased cost of working.</w:t>
      </w:r>
    </w:p>
    <w:p>
      <w:bookmarkStart w:id="136" w:name="c_bpk_equipment_exclusions"/>
      <w:r>
        <w:rPr>
          <w:rFonts w:ascii="Georgia" w:hAnsi="Georgia" w:eastAsia="Georgia"/>
          <w:b/>
          <w:i w:val="0"/>
          <w:color w:val="2E5C4E"/>
          <w:sz w:val="25"/>
        </w:rPr>
        <w:t>Equipment Damage Exclusions</w:t>
      </w:r>
      <w:bookmarkEnd w:id="136"/>
    </w:p>
    <w:p>
      <w:r>
        <w:rPr>
          <w:b w:val="0"/>
          <w:i w:val="0"/>
        </w:rPr>
        <w:t xml:space="preserve">In addition to </w:t>
      </w:r>
      <w:hyperlink w:anchor="c_bpk_section_general_exclusions">
        <w:r>
          <w:rPr>
            <w:color w:val="2E5C4E"/>
            <w:u w:val="single"/>
          </w:rPr>
          <w:t xml:space="preserve">the General Exclusions section</w:t>
        </w:r>
      </w:hyperlink>
      <w:r>
        <w:rPr>
          <w:b w:val="0"/>
          <w:i w:val="0"/>
        </w:rPr>
        <w:t xml:space="preserve">, we do not cover under </w:t>
      </w:r>
      <w:hyperlink w:anchor="c_bpk_section_equipment">
        <w:r>
          <w:rPr>
            <w:color w:val="2E5C4E"/>
            <w:u w:val="single"/>
          </w:rPr>
          <w:t xml:space="preserve">the Equipment Damage section</w:t>
        </w:r>
      </w:hyperlink>
      <w:r>
        <w:rPr>
          <w:b w:val="0"/>
          <w:i w:val="0"/>
        </w:rPr>
        <w:t>:</w:t>
      </w:r>
    </w:p>
    <w:p>
      <w:pPr>
        <w:pStyle w:val="ListBullet"/>
      </w:pPr>
      <w:r>
        <w:rPr>
          <w:b w:val="0"/>
          <w:i w:val="0"/>
        </w:rPr>
        <w:t>consumable parts such as belts, tools, bulbs, filters and fuses, unless damaged with another part;</w:t>
      </w:r>
    </w:p>
    <w:p>
      <w:pPr>
        <w:pStyle w:val="ListBullet"/>
      </w:pPr>
      <w:r>
        <w:rPr>
          <w:b w:val="0"/>
          <w:i w:val="0"/>
        </w:rPr>
        <w:t>loss covered by a manufacturer's warranty or maintenance contract;</w:t>
      </w:r>
    </w:p>
    <w:p>
      <w:pPr>
        <w:pStyle w:val="ListBullet"/>
      </w:pPr>
      <w:r>
        <w:rPr>
          <w:b w:val="0"/>
          <w:i w:val="0"/>
        </w:rPr>
        <w:t>gradual deterioration (</w:t>
      </w:r>
      <w:hyperlink w:anchor="c_bpk_excl_gradual_causes">
        <w:r>
          <w:rPr>
            <w:color w:val="2E5C4E"/>
            <w:u w:val="single"/>
          </w:rPr>
          <w:t xml:space="preserve">Gradual Causes</w:t>
        </w:r>
      </w:hyperlink>
      <w:r>
        <w:rPr>
          <w:b w:val="0"/>
          <w:i w:val="0"/>
        </w:rPr>
        <w:t>);</w:t>
      </w:r>
    </w:p>
    <w:p>
      <w:pPr>
        <w:pStyle w:val="ListBullet"/>
      </w:pPr>
      <w:r>
        <w:rPr>
          <w:b w:val="0"/>
          <w:i w:val="0"/>
        </w:rPr>
        <w:t>equipment not in working order at the start of the Period of Insurance; and</w:t>
      </w:r>
    </w:p>
    <w:p>
      <w:pPr>
        <w:pStyle w:val="ListBullet"/>
      </w:pPr>
      <w:r>
        <w:rPr>
          <w:b w:val="0"/>
          <w:i w:val="0"/>
        </w:rPr>
        <w:t xml:space="preserve">consequential loss, unless </w:t>
      </w:r>
      <w:hyperlink w:anchor="c_bpk_end_e04">
        <w:r>
          <w:rPr>
            <w:color w:val="2E5C4E"/>
            <w:u w:val="single"/>
          </w:rPr>
          <w:t xml:space="preserve">the E04 Equipment Damage Consequential Loss endorsement</w:t>
        </w:r>
      </w:hyperlink>
      <w:r>
        <w:rPr>
          <w:b w:val="0"/>
          <w:i w:val="0"/>
        </w:rPr>
        <w:t xml:space="preserve"> is operative.</w:t>
      </w:r>
    </w:p>
    <w:p>
      <w:bookmarkStart w:id="137" w:name="c_bpk_section_general_property"/>
      <w:r>
        <w:rPr>
          <w:rFonts w:ascii="Georgia" w:hAnsi="Georgia" w:eastAsia="Georgia"/>
          <w:b/>
          <w:i w:val="0"/>
          <w:color w:val="1C1915"/>
          <w:sz w:val="32"/>
        </w:rPr>
        <w:t>General Property</w:t>
      </w:r>
      <w:bookmarkEnd w:id="137"/>
    </w:p>
    <w:p>
      <w:r>
        <w:rPr>
          <w:b w:val="0"/>
          <w:i w:val="0"/>
        </w:rPr>
        <w:t>Written once for the Business.</w:t>
      </w:r>
    </w:p>
    <w:p>
      <w:bookmarkStart w:id="138" w:name="c_bpk_gp_cover"/>
      <w:r>
        <w:rPr>
          <w:rFonts w:ascii="Georgia" w:hAnsi="Georgia" w:eastAsia="Georgia"/>
          <w:b/>
          <w:i w:val="0"/>
          <w:color w:val="2E5C4E"/>
          <w:sz w:val="25"/>
        </w:rPr>
        <w:t>Portable Business Property</w:t>
      </w:r>
      <w:bookmarkEnd w:id="138"/>
    </w:p>
    <w:p>
      <w:r>
        <w:rPr>
          <w:b w:val="0"/>
          <w:i w:val="0"/>
        </w:rPr>
        <w:t>We will pay for Damage to portable business property, anywhere in Australia, during the Period of Insurance, up to the general property Sum insured and the per-item limit shown in the Schedule. Items listed in the Schedule as specified items are covered up to their listed values and are not subject to the per-item limit.</w:t>
      </w:r>
    </w:p>
    <w:p>
      <w:bookmarkStart w:id="139" w:name="c_bpk_gp_basis_of_settlement"/>
      <w:r>
        <w:rPr>
          <w:rFonts w:ascii="Georgia" w:hAnsi="Georgia" w:eastAsia="Georgia"/>
          <w:b/>
          <w:i w:val="0"/>
          <w:color w:val="2E5C4E"/>
          <w:sz w:val="25"/>
        </w:rPr>
        <w:t>Settling General Property</w:t>
      </w:r>
      <w:bookmarkEnd w:id="139"/>
    </w:p>
    <w:p>
      <w:r>
        <w:rPr>
          <w:b w:val="0"/>
          <w:i w:val="0"/>
        </w:rPr>
        <w:t>Replacement as new for items under the age shown in the Schedule; otherwise indemnity value, unless the Schedule shows otherwise.</w:t>
      </w:r>
    </w:p>
    <w:p>
      <w:bookmarkStart w:id="140" w:name="c_bpk_gp_exclusions"/>
      <w:r>
        <w:rPr>
          <w:rFonts w:ascii="Georgia" w:hAnsi="Georgia" w:eastAsia="Georgia"/>
          <w:b/>
          <w:i w:val="0"/>
          <w:color w:val="2E5C4E"/>
          <w:sz w:val="25"/>
        </w:rPr>
        <w:t>General Property Exclusions</w:t>
      </w:r>
      <w:bookmarkEnd w:id="140"/>
    </w:p>
    <w:p>
      <w:r>
        <w:rPr>
          <w:b w:val="0"/>
          <w:i w:val="0"/>
        </w:rPr>
        <w:t xml:space="preserve">In addition to </w:t>
      </w:r>
      <w:hyperlink w:anchor="c_bpk_section_general_exclusions">
        <w:r>
          <w:rPr>
            <w:color w:val="2E5C4E"/>
            <w:u w:val="single"/>
          </w:rPr>
          <w:t xml:space="preserve">the General Exclusions section</w:t>
        </w:r>
      </w:hyperlink>
      <w:r>
        <w:rPr>
          <w:b w:val="0"/>
          <w:i w:val="0"/>
        </w:rPr>
        <w:t xml:space="preserve">, we do not cover under </w:t>
      </w:r>
      <w:hyperlink w:anchor="c_bpk_section_general_property">
        <w:r>
          <w:rPr>
            <w:color w:val="2E5C4E"/>
            <w:u w:val="single"/>
          </w:rPr>
          <w:t xml:space="preserve">the General Property section</w:t>
        </w:r>
      </w:hyperlink>
      <w:r>
        <w:rPr>
          <w:b w:val="0"/>
          <w:i w:val="0"/>
        </w:rPr>
        <w:t>:</w:t>
      </w:r>
    </w:p>
    <w:p>
      <w:pPr>
        <w:pStyle w:val="ListBullet"/>
      </w:pPr>
      <w:r>
        <w:rPr>
          <w:b w:val="0"/>
          <w:i w:val="0"/>
        </w:rPr>
        <w:t>property left in an unattended vehicle, unless locked and concealed from view;</w:t>
      </w:r>
    </w:p>
    <w:p>
      <w:pPr>
        <w:pStyle w:val="ListBullet"/>
      </w:pPr>
      <w:r>
        <w:rPr>
          <w:b w:val="0"/>
          <w:i w:val="0"/>
        </w:rPr>
        <w:t>mobile phones and laptop computers left unattended in a public place;</w:t>
      </w:r>
    </w:p>
    <w:p>
      <w:pPr>
        <w:pStyle w:val="ListBullet"/>
      </w:pPr>
      <w:r>
        <w:rPr>
          <w:b w:val="0"/>
          <w:i w:val="0"/>
        </w:rPr>
        <w:t>cracking or scratching that does not stop the item working; and</w:t>
      </w:r>
    </w:p>
    <w:p>
      <w:pPr>
        <w:pStyle w:val="ListBullet"/>
      </w:pPr>
      <w:r>
        <w:rPr>
          <w:b w:val="0"/>
          <w:i w:val="0"/>
        </w:rPr>
        <w:t>property lent or hired to others.</w:t>
      </w:r>
    </w:p>
    <w:p>
      <w:bookmarkStart w:id="141" w:name="c_bpk_section_transit"/>
      <w:r>
        <w:rPr>
          <w:rFonts w:ascii="Georgia" w:hAnsi="Georgia" w:eastAsia="Georgia"/>
          <w:b/>
          <w:i w:val="0"/>
          <w:color w:val="1C1915"/>
          <w:sz w:val="32"/>
        </w:rPr>
        <w:t>Goods in Transit</w:t>
      </w:r>
      <w:bookmarkEnd w:id="141"/>
    </w:p>
    <w:p>
      <w:r>
        <w:rPr>
          <w:b w:val="0"/>
          <w:i w:val="0"/>
        </w:rPr>
        <w:t>Written once for the Business.</w:t>
      </w:r>
    </w:p>
    <w:p>
      <w:bookmarkStart w:id="142" w:name="c_bpk_transit_cover"/>
      <w:r>
        <w:rPr>
          <w:rFonts w:ascii="Georgia" w:hAnsi="Georgia" w:eastAsia="Georgia"/>
          <w:b/>
          <w:i w:val="0"/>
          <w:color w:val="2E5C4E"/>
          <w:sz w:val="25"/>
        </w:rPr>
        <w:t>Damage to Goods in Transit</w:t>
      </w:r>
      <w:bookmarkEnd w:id="142"/>
    </w:p>
    <w:p>
      <w:r>
        <w:rPr>
          <w:b w:val="0"/>
          <w:i w:val="0"/>
        </w:rPr>
        <w:t>We will pay for Damage to goods you own or are responsible for while in transit within Australia during the Period of Insurance, carried by your vehicles, a professional carrier, Australia Post or a courier, up to the limit any one conveyance shown in the Schedule. We settle at the lesser of cost price, selling price less profit, or replacement cost.</w:t>
      </w:r>
    </w:p>
    <w:p>
      <w:bookmarkStart w:id="143" w:name="c_bpk_transit_declarations"/>
      <w:r>
        <w:rPr>
          <w:rFonts w:ascii="Georgia" w:hAnsi="Georgia" w:eastAsia="Georgia"/>
          <w:b/>
          <w:i w:val="0"/>
          <w:color w:val="2E5C4E"/>
          <w:sz w:val="25"/>
        </w:rPr>
        <w:t>Declarations of Carryings</w:t>
      </w:r>
      <w:bookmarkEnd w:id="143"/>
    </w:p>
    <w:p>
      <w:r>
        <w:rPr>
          <w:b w:val="0"/>
          <w:i w:val="0"/>
        </w:rPr>
        <w:t>The premium for this section is based on your declared annual carryings shown in the Schedule. Within 60 days after the Period of Insurance ends, we may ask you to declare your actual carryings and adjust the premium. Underdeclaration does not reduce a claim payment.</w:t>
      </w:r>
    </w:p>
    <w:p>
      <w:bookmarkStart w:id="144" w:name="c_bpk_transit_exclusions"/>
      <w:r>
        <w:rPr>
          <w:rFonts w:ascii="Georgia" w:hAnsi="Georgia" w:eastAsia="Georgia"/>
          <w:b/>
          <w:i w:val="0"/>
          <w:color w:val="2E5C4E"/>
          <w:sz w:val="25"/>
        </w:rPr>
        <w:t>Goods in Transit Exclusions</w:t>
      </w:r>
      <w:bookmarkEnd w:id="144"/>
    </w:p>
    <w:p>
      <w:r>
        <w:rPr>
          <w:b w:val="0"/>
          <w:i w:val="0"/>
        </w:rPr>
        <w:t xml:space="preserve">In addition to </w:t>
      </w:r>
      <w:hyperlink w:anchor="c_bpk_section_general_exclusions">
        <w:r>
          <w:rPr>
            <w:color w:val="2E5C4E"/>
            <w:u w:val="single"/>
          </w:rPr>
          <w:t xml:space="preserve">the General Exclusions section</w:t>
        </w:r>
      </w:hyperlink>
      <w:r>
        <w:rPr>
          <w:b w:val="0"/>
          <w:i w:val="0"/>
        </w:rPr>
        <w:t xml:space="preserve">, we do not cover under </w:t>
      </w:r>
      <w:hyperlink w:anchor="c_bpk_section_transit">
        <w:r>
          <w:rPr>
            <w:color w:val="2E5C4E"/>
            <w:u w:val="single"/>
          </w:rPr>
          <w:t xml:space="preserve">the Goods in Transit section</w:t>
        </w:r>
      </w:hyperlink>
      <w:r>
        <w:rPr>
          <w:b w:val="0"/>
          <w:i w:val="0"/>
        </w:rPr>
        <w:t>:</w:t>
      </w:r>
    </w:p>
    <w:p>
      <w:pPr>
        <w:pStyle w:val="ListBullet"/>
      </w:pPr>
      <w:r>
        <w:rPr>
          <w:b w:val="0"/>
          <w:i w:val="0"/>
        </w:rPr>
        <w:t>goods carried for others for reward;</w:t>
      </w:r>
    </w:p>
    <w:p>
      <w:pPr>
        <w:pStyle w:val="ListBullet"/>
      </w:pPr>
      <w:r>
        <w:rPr>
          <w:b w:val="0"/>
          <w:i w:val="0"/>
        </w:rPr>
        <w:t>livestock, plants, cash, jewellery and works of art;</w:t>
      </w:r>
    </w:p>
    <w:p>
      <w:pPr>
        <w:pStyle w:val="ListBullet"/>
      </w:pPr>
      <w:r>
        <w:rPr>
          <w:b w:val="0"/>
          <w:i w:val="0"/>
        </w:rPr>
        <w:t>inadequate packing;</w:t>
      </w:r>
    </w:p>
    <w:p>
      <w:pPr>
        <w:pStyle w:val="ListBullet"/>
      </w:pPr>
      <w:r>
        <w:rPr>
          <w:b w:val="0"/>
          <w:i w:val="0"/>
        </w:rPr>
        <w:t>temperature change, unless caused by a collision or overturning of the conveying vehicle; and</w:t>
      </w:r>
    </w:p>
    <w:p>
      <w:pPr>
        <w:pStyle w:val="ListBullet"/>
      </w:pPr>
      <w:r>
        <w:rPr>
          <w:b w:val="0"/>
          <w:i w:val="0"/>
        </w:rPr>
        <w:t>goods in an unattended vehicle overnight, unless in a locked building or yard.</w:t>
      </w:r>
    </w:p>
    <w:p>
      <w:bookmarkStart w:id="145" w:name="c_bpk_section_tax_audit"/>
      <w:r>
        <w:rPr>
          <w:rFonts w:ascii="Georgia" w:hAnsi="Georgia" w:eastAsia="Georgia"/>
          <w:b/>
          <w:i w:val="0"/>
          <w:color w:val="1C1915"/>
          <w:sz w:val="32"/>
        </w:rPr>
        <w:t>Tax Audit</w:t>
      </w:r>
      <w:bookmarkEnd w:id="145"/>
    </w:p>
    <w:p>
      <w:r>
        <w:rPr>
          <w:b w:val="0"/>
          <w:i w:val="0"/>
        </w:rPr>
        <w:t>Written once for the Business.</w:t>
      </w:r>
    </w:p>
    <w:p>
      <w:bookmarkStart w:id="146" w:name="c_bpk_tax_cover"/>
      <w:r>
        <w:rPr>
          <w:rFonts w:ascii="Georgia" w:hAnsi="Georgia" w:eastAsia="Georgia"/>
          <w:b/>
          <w:i w:val="0"/>
          <w:color w:val="2E5C4E"/>
          <w:sz w:val="25"/>
        </w:rPr>
        <w:t>Professional Fees for an Audit</w:t>
      </w:r>
      <w:bookmarkEnd w:id="146"/>
    </w:p>
    <w:p>
      <w:r>
        <w:rPr>
          <w:b w:val="0"/>
          <w:i w:val="0"/>
        </w:rPr>
        <w:t xml:space="preserve">If you first receive an Audit notice during the Period of Insurance, or a later Audit notice arises from facts notified under </w:t>
      </w:r>
      <w:hyperlink w:anchor="c_bpk_cond_notice_of_circumstances">
        <w:r>
          <w:rPr>
            <w:color w:val="2E5C4E"/>
            <w:u w:val="single"/>
          </w:rPr>
          <w:t xml:space="preserve">the Notice of Circumstances condition</w:t>
        </w:r>
      </w:hyperlink>
      <w:r>
        <w:rPr>
          <w:b w:val="0"/>
          <w:i w:val="0"/>
        </w:rPr>
        <w:t>, we will pay the reasonable professional fees of your accountant or tax agent for responding to it, up to the section limit shown in the Schedule. The section limit is the most we pay for all Audit notices in the Period of Insurance.</w:t>
      </w:r>
    </w:p>
    <w:p>
      <w:bookmarkStart w:id="147" w:name="c_bpk_tax_exclusions"/>
      <w:r>
        <w:rPr>
          <w:rFonts w:ascii="Georgia" w:hAnsi="Georgia" w:eastAsia="Georgia"/>
          <w:b/>
          <w:i w:val="0"/>
          <w:color w:val="2E5C4E"/>
          <w:sz w:val="25"/>
        </w:rPr>
        <w:t>Tax Audit Exclusions</w:t>
      </w:r>
      <w:bookmarkEnd w:id="147"/>
    </w:p>
    <w:p>
      <w:r>
        <w:rPr>
          <w:b w:val="0"/>
          <w:i w:val="0"/>
        </w:rPr>
        <w:t xml:space="preserve">In addition to </w:t>
      </w:r>
      <w:hyperlink w:anchor="c_bpk_section_general_exclusions">
        <w:r>
          <w:rPr>
            <w:color w:val="2E5C4E"/>
            <w:u w:val="single"/>
          </w:rPr>
          <w:t xml:space="preserve">the General Exclusions section</w:t>
        </w:r>
      </w:hyperlink>
      <w:r>
        <w:rPr>
          <w:b w:val="0"/>
          <w:i w:val="0"/>
        </w:rPr>
        <w:t xml:space="preserve">, we do not cover under </w:t>
      </w:r>
      <w:hyperlink w:anchor="c_bpk_section_tax_audit">
        <w:r>
          <w:rPr>
            <w:color w:val="2E5C4E"/>
            <w:u w:val="single"/>
          </w:rPr>
          <w:t xml:space="preserve">the Tax Audit section</w:t>
        </w:r>
      </w:hyperlink>
      <w:r>
        <w:rPr>
          <w:b w:val="0"/>
          <w:i w:val="0"/>
        </w:rPr>
        <w:t>:</w:t>
      </w:r>
    </w:p>
    <w:p>
      <w:pPr>
        <w:pStyle w:val="ListBullet"/>
      </w:pPr>
      <w:r>
        <w:rPr>
          <w:b w:val="0"/>
          <w:i w:val="0"/>
        </w:rPr>
        <w:t>tax, duty, interest, penalties or fines;</w:t>
      </w:r>
    </w:p>
    <w:p>
      <w:pPr>
        <w:pStyle w:val="ListBullet"/>
      </w:pPr>
      <w:r>
        <w:rPr>
          <w:b w:val="0"/>
          <w:i w:val="0"/>
        </w:rPr>
        <w:t>fees for preparing returns or work you would have needed in any case;</w:t>
      </w:r>
    </w:p>
    <w:p>
      <w:pPr>
        <w:pStyle w:val="ListBullet"/>
      </w:pPr>
      <w:r>
        <w:rPr>
          <w:b w:val="0"/>
          <w:i w:val="0"/>
        </w:rPr>
        <w:t>an Audit notice received before the Period of Insurance, or arising from facts that a member of the Control group knew before it and did not disclose;</w:t>
      </w:r>
    </w:p>
    <w:p>
      <w:pPr>
        <w:pStyle w:val="ListBullet"/>
      </w:pPr>
      <w:r>
        <w:rPr>
          <w:b w:val="0"/>
          <w:i w:val="0"/>
        </w:rPr>
        <w:t>an audit arising from fraud, deliberate evasion or failure to lodge returns; and</w:t>
      </w:r>
    </w:p>
    <w:p>
      <w:pPr>
        <w:pStyle w:val="ListBullet"/>
      </w:pPr>
      <w:r>
        <w:rPr>
          <w:b w:val="0"/>
          <w:i w:val="0"/>
        </w:rPr>
        <w:t>a voluntary disclosure that is not made in response to an Audit notice.</w:t>
      </w:r>
    </w:p>
    <w:p>
      <w:bookmarkStart w:id="148" w:name="c_bpk_section_cyber"/>
      <w:r>
        <w:rPr>
          <w:rFonts w:ascii="Georgia" w:hAnsi="Georgia" w:eastAsia="Georgia"/>
          <w:b/>
          <w:i w:val="0"/>
          <w:color w:val="1C1915"/>
          <w:sz w:val="32"/>
        </w:rPr>
        <w:t>Cyber</w:t>
      </w:r>
      <w:bookmarkEnd w:id="148"/>
    </w:p>
    <w:p>
      <w:r>
        <w:rPr>
          <w:b w:val="0"/>
          <w:i w:val="0"/>
        </w:rPr>
        <w:t>Written once for the Business.</w:t>
      </w:r>
    </w:p>
    <w:p>
      <w:bookmarkStart w:id="149" w:name="c_bpk_cyber_cover_incident_response"/>
      <w:r>
        <w:rPr>
          <w:rFonts w:ascii="Georgia" w:hAnsi="Georgia" w:eastAsia="Georgia"/>
          <w:b/>
          <w:i w:val="0"/>
          <w:color w:val="2E5C4E"/>
          <w:sz w:val="25"/>
        </w:rPr>
        <w:t>Incident Response</w:t>
      </w:r>
      <w:bookmarkEnd w:id="149"/>
    </w:p>
    <w:p>
      <w:r>
        <w:rPr>
          <w:b w:val="0"/>
          <w:i w:val="0"/>
        </w:rPr>
        <w:t>If you first discover a Cyber event during the Period of Insurance, we will pay the reasonable costs of forensic investigation, legal advice, notifying affected individuals and regulators, credit and identity monitoring, and public relations advice, incurred with our agreement.</w:t>
      </w:r>
    </w:p>
    <w:p>
      <w:bookmarkStart w:id="150" w:name="c_bpk_cyber_cover_business_interruption"/>
      <w:r>
        <w:rPr>
          <w:rFonts w:ascii="Georgia" w:hAnsi="Georgia" w:eastAsia="Georgia"/>
          <w:b/>
          <w:i w:val="0"/>
          <w:color w:val="2E5C4E"/>
          <w:sz w:val="25"/>
        </w:rPr>
        <w:t>Cyber Business Interruption</w:t>
      </w:r>
      <w:bookmarkEnd w:id="150"/>
    </w:p>
    <w:p>
      <w:r>
        <w:rPr>
          <w:b w:val="0"/>
          <w:i w:val="0"/>
        </w:rPr>
        <w:t>If a Cyber event first discovered during the Period of Insurance interrupts the Business for longer than the waiting period shown in the Schedule, we will pay your loss of gross profit and increased cost of working from the start of the interruption until the end of the indemnity period shown in the Schedule.</w:t>
      </w:r>
    </w:p>
    <w:p>
      <w:bookmarkStart w:id="151" w:name="c_bpk_cyber_cover_data_restoration"/>
      <w:r>
        <w:rPr>
          <w:rFonts w:ascii="Georgia" w:hAnsi="Georgia" w:eastAsia="Georgia"/>
          <w:b/>
          <w:i w:val="0"/>
          <w:color w:val="2E5C4E"/>
          <w:sz w:val="25"/>
        </w:rPr>
        <w:t>Data Restoration</w:t>
      </w:r>
      <w:bookmarkEnd w:id="151"/>
    </w:p>
    <w:p>
      <w:r>
        <w:rPr>
          <w:b w:val="0"/>
          <w:i w:val="0"/>
        </w:rPr>
        <w:t>The cost of restoring or recreating your Data damaged or lost in a Cyber event first discovered during the Period of Insurance, to the condition before the event.</w:t>
      </w:r>
    </w:p>
    <w:p>
      <w:bookmarkStart w:id="152" w:name="c_bpk_cyber_cover_extortion"/>
      <w:r>
        <w:rPr>
          <w:rFonts w:ascii="Georgia" w:hAnsi="Georgia" w:eastAsia="Georgia"/>
          <w:b/>
          <w:i w:val="0"/>
          <w:color w:val="2E5C4E"/>
          <w:sz w:val="25"/>
        </w:rPr>
        <w:t>Cyber Extortion</w:t>
      </w:r>
      <w:bookmarkEnd w:id="152"/>
    </w:p>
    <w:p>
      <w:r>
        <w:rPr>
          <w:b w:val="0"/>
          <w:i w:val="0"/>
        </w:rPr>
        <w:t xml:space="preserve">The costs of responding to an Extortion threat first made during the Period of Insurance, including any ransom, where we have agreed in writing before payment and the payment is lawful, including under </w:t>
      </w:r>
      <w:hyperlink w:anchor="c_bpk_cond_sanctions">
        <w:r>
          <w:rPr>
            <w:color w:val="2E5C4E"/>
            <w:u w:val="single"/>
          </w:rPr>
          <w:t xml:space="preserve">the Sanctions condition</w:t>
        </w:r>
      </w:hyperlink>
      <w:r>
        <w:rPr>
          <w:b w:val="0"/>
          <w:i w:val="0"/>
        </w:rPr>
        <w:t>.</w:t>
      </w:r>
    </w:p>
    <w:p>
      <w:bookmarkStart w:id="153" w:name="c_bpk_cyber_cover_privacy_liability"/>
      <w:r>
        <w:rPr>
          <w:rFonts w:ascii="Georgia" w:hAnsi="Georgia" w:eastAsia="Georgia"/>
          <w:b/>
          <w:i w:val="0"/>
          <w:color w:val="2E5C4E"/>
          <w:sz w:val="25"/>
        </w:rPr>
        <w:t>Privacy and Network Security Liability</w:t>
      </w:r>
      <w:bookmarkEnd w:id="153"/>
    </w:p>
    <w:p>
      <w:r>
        <w:rPr>
          <w:b w:val="0"/>
          <w:i w:val="0"/>
        </w:rPr>
        <w:t>The compensation you become legally liable to pay, and defence costs, for a Claim first made against you during the Period of Insurance arising from a Cyber event, a breach of privacy law, or the statutory tort of serious invasion of privacy under the Privacy Act 1988 (Cth), committed on or after the Retroactive date.</w:t>
      </w:r>
    </w:p>
    <w:p>
      <w:bookmarkStart w:id="154" w:name="c_bpk_cyber_cover_regulatory"/>
      <w:r>
        <w:rPr>
          <w:rFonts w:ascii="Georgia" w:hAnsi="Georgia" w:eastAsia="Georgia"/>
          <w:b/>
          <w:i w:val="0"/>
          <w:color w:val="2E5C4E"/>
          <w:sz w:val="25"/>
        </w:rPr>
        <w:t>Regulatory Defence and Penalties</w:t>
      </w:r>
      <w:bookmarkEnd w:id="154"/>
    </w:p>
    <w:p>
      <w:r>
        <w:rPr>
          <w:b w:val="0"/>
          <w:i w:val="0"/>
        </w:rPr>
        <w:t>Defence costs for a regulatory investigation into a Cyber event, and civil penalties to the extent the law allows them to be insured. We do not pay any fine or penalty that the law does not allow to be insured, and we do not pay a criminal fine. [WP REVIEW: confirm insurability of Privacy Act civil penalties.]</w:t>
      </w:r>
    </w:p>
    <w:p>
      <w:bookmarkStart w:id="155" w:name="c_bpk_cyber_limits_and_aggregation"/>
      <w:r>
        <w:rPr>
          <w:rFonts w:ascii="Georgia" w:hAnsi="Georgia" w:eastAsia="Georgia"/>
          <w:b/>
          <w:i w:val="0"/>
          <w:color w:val="2E5C4E"/>
          <w:sz w:val="25"/>
        </w:rPr>
        <w:t>Cyber Limits and Aggregation</w:t>
      </w:r>
      <w:bookmarkEnd w:id="155"/>
    </w:p>
    <w:p>
      <w:r>
        <w:rPr>
          <w:b w:val="0"/>
          <w:i w:val="0"/>
        </w:rPr>
        <w:t>The section limit shown in the Schedule is the most we pay under this section for the Period of Insurance, including defence costs. Sub-limits shown in the Schedule are part of the section limit. All loss from the same, similar or related Cyber events, or from one campaign by the same person or group, is one event subject to one Excess, and is treated as discovered when the first of them was discovered.</w:t>
      </w:r>
    </w:p>
    <w:p>
      <w:bookmarkStart w:id="156" w:name="c_bpk_cyber_relationship_with_crime"/>
      <w:r>
        <w:rPr>
          <w:rFonts w:ascii="Georgia" w:hAnsi="Georgia" w:eastAsia="Georgia"/>
          <w:b/>
          <w:i w:val="0"/>
          <w:color w:val="2E5C4E"/>
          <w:sz w:val="25"/>
        </w:rPr>
        <w:t>Relationship With Comprehensive Crime</w:t>
      </w:r>
      <w:bookmarkEnd w:id="156"/>
    </w:p>
    <w:p>
      <w:r>
        <w:rPr>
          <w:b w:val="0"/>
          <w:i w:val="0"/>
        </w:rPr>
        <w:t xml:space="preserve">A fraudulent transfer of your funds is covered under </w:t>
      </w:r>
      <w:hyperlink w:anchor="c_bpk_section_crime">
        <w:r>
          <w:rPr>
            <w:color w:val="2E5C4E"/>
            <w:u w:val="single"/>
          </w:rPr>
          <w:t xml:space="preserve">the Comprehensive Crime section</w:t>
        </w:r>
      </w:hyperlink>
      <w:r>
        <w:rPr>
          <w:b w:val="0"/>
          <w:i w:val="0"/>
        </w:rPr>
        <w:t xml:space="preserve">, not this section, where that section is insured. </w:t>
      </w:r>
      <w:hyperlink w:anchor="c_bpk_cond_limits_and_more_than_one_sect">
        <w:r>
          <w:rPr>
            <w:color w:val="2E5C4E"/>
            <w:u w:val="single"/>
          </w:rPr>
          <w:t xml:space="preserve">The Limits and More Than One Section condition</w:t>
        </w:r>
      </w:hyperlink>
      <w:r>
        <w:rPr>
          <w:b w:val="0"/>
          <w:i w:val="0"/>
        </w:rPr>
        <w:t xml:space="preserve"> says which section pays where both could respond. This section still covers incident response costs arising from the same event.</w:t>
      </w:r>
    </w:p>
    <w:p>
      <w:bookmarkStart w:id="157" w:name="c_bpk_cyber_claims_made"/>
      <w:r>
        <w:rPr>
          <w:rFonts w:ascii="Georgia" w:hAnsi="Georgia" w:eastAsia="Georgia"/>
          <w:b/>
          <w:i w:val="0"/>
          <w:color w:val="2E5C4E"/>
          <w:sz w:val="25"/>
        </w:rPr>
        <w:t>Cyber Claims-made Conditions</w:t>
      </w:r>
      <w:bookmarkEnd w:id="157"/>
    </w:p>
    <w:p>
      <w:hyperlink w:anchor="c_bpk_cyber_cover_privacy_liability">
        <w:r>
          <w:rPr>
            <w:color w:val="2E5C4E"/>
            <w:u w:val="single"/>
          </w:rPr>
          <w:t xml:space="preserve">The Privacy and Network Security Liability clause</w:t>
        </w:r>
      </w:hyperlink>
      <w:r>
        <w:rPr>
          <w:b w:val="0"/>
          <w:i w:val="0"/>
        </w:rPr>
        <w:t xml:space="preserve"> and </w:t>
      </w:r>
      <w:hyperlink w:anchor="c_bpk_cyber_cover_regulatory">
        <w:r>
          <w:rPr>
            <w:color w:val="2E5C4E"/>
            <w:u w:val="single"/>
          </w:rPr>
          <w:t xml:space="preserve">the Regulatory Defence and Penalties clause</w:t>
        </w:r>
      </w:hyperlink>
      <w:r>
        <w:rPr>
          <w:b w:val="0"/>
          <w:i w:val="0"/>
        </w:rPr>
        <w:t xml:space="preserve"> cover a Claim first made against you during the Period of Insurance for acts on or after the Retroactive date. All Claims arising from the same, similar or related facts are one Claim, first made when the earliest was first made. </w:t>
      </w:r>
      <w:hyperlink w:anchor="c_bpk_cond_notice_of_circumstances">
        <w:r>
          <w:rPr>
            <w:color w:val="2E5C4E"/>
            <w:u w:val="single"/>
          </w:rPr>
          <w:t xml:space="preserve">The Notice of Circumstances condition</w:t>
        </w:r>
      </w:hyperlink>
      <w:r>
        <w:rPr>
          <w:b w:val="0"/>
          <w:i w:val="0"/>
        </w:rPr>
        <w:t xml:space="preserve"> applies.</w:t>
      </w:r>
    </w:p>
    <w:p>
      <w:bookmarkStart w:id="158" w:name="c_bpk_cyber_exclusions"/>
      <w:r>
        <w:rPr>
          <w:rFonts w:ascii="Georgia" w:hAnsi="Georgia" w:eastAsia="Georgia"/>
          <w:b/>
          <w:i w:val="0"/>
          <w:color w:val="2E5C4E"/>
          <w:sz w:val="25"/>
        </w:rPr>
        <w:t>How the Cyber Exclusions Apply</w:t>
      </w:r>
      <w:bookmarkEnd w:id="158"/>
    </w:p>
    <w:p>
      <w:r>
        <w:rPr>
          <w:b w:val="0"/>
          <w:i w:val="0"/>
        </w:rPr>
        <w:t xml:space="preserve">In addition to </w:t>
      </w:r>
      <w:hyperlink w:anchor="c_bpk_section_general_exclusions">
        <w:r>
          <w:rPr>
            <w:color w:val="2E5C4E"/>
            <w:u w:val="single"/>
          </w:rPr>
          <w:t xml:space="preserve">the General Exclusions section</w:t>
        </w:r>
      </w:hyperlink>
      <w:r>
        <w:rPr>
          <w:b w:val="0"/>
          <w:i w:val="0"/>
        </w:rPr>
        <w:t xml:space="preserve"> (other than </w:t>
      </w:r>
      <w:hyperlink w:anchor="c_bpk_excl_war">
        <w:r>
          <w:rPr>
            <w:color w:val="2E5C4E"/>
            <w:u w:val="single"/>
          </w:rPr>
          <w:t xml:space="preserve">the War exclusion</w:t>
        </w:r>
      </w:hyperlink>
      <w:r>
        <w:rPr>
          <w:b w:val="0"/>
          <w:i w:val="0"/>
        </w:rPr>
        <w:t xml:space="preserve"> and </w:t>
      </w:r>
      <w:hyperlink w:anchor="c_bpk_excl_cyber">
        <w:r>
          <w:rPr>
            <w:color w:val="2E5C4E"/>
            <w:u w:val="single"/>
          </w:rPr>
          <w:t xml:space="preserve">the Cyber exclusion</w:t>
        </w:r>
      </w:hyperlink>
      <w:r>
        <w:rPr>
          <w:b w:val="0"/>
          <w:i w:val="0"/>
        </w:rPr>
        <w:t xml:space="preserve">), we do not cover under </w:t>
      </w:r>
      <w:hyperlink w:anchor="c_bpk_section_cyber">
        <w:r>
          <w:rPr>
            <w:color w:val="2E5C4E"/>
            <w:u w:val="single"/>
          </w:rPr>
          <w:t xml:space="preserve">the Cyber section</w:t>
        </w:r>
      </w:hyperlink>
      <w:r>
        <w:rPr>
          <w:b w:val="0"/>
          <w:i w:val="0"/>
        </w:rPr>
        <w:t xml:space="preserve"> the matters in the exclusions that follow.</w:t>
      </w:r>
    </w:p>
    <w:p>
      <w:bookmarkStart w:id="159" w:name="c_bpk_cyber_excl_war_and_state_cyber_ope"/>
      <w:r>
        <w:rPr>
          <w:rFonts w:ascii="Georgia" w:hAnsi="Georgia" w:eastAsia="Georgia"/>
          <w:b/>
          <w:i w:val="0"/>
          <w:color w:val="2E5C4E"/>
          <w:sz w:val="25"/>
        </w:rPr>
        <w:t>War and State Cyber Operations</w:t>
      </w:r>
      <w:bookmarkEnd w:id="159"/>
    </w:p>
    <w:p>
      <w:r>
        <w:rPr>
          <w:b w:val="0"/>
          <w:i w:val="0"/>
        </w:rPr>
        <w:t>Loss caused by war, or by a cyber operation carried out by or on behalf of a state that has a major detrimental impact on the functioning of a state. This does not apply to your Computer system if it is located outside the state affected and was not itself the target. We must prove that this exclusion applies; in deciding whether a cyber operation is attributable to a state, we may rely on objectively reasonable evidence, including attribution by the government of the state in which your Computer system is located. [WP REVIEW: align with the LMA5564 model clause adopted for the Meridian Cyber wording.]</w:t>
      </w:r>
    </w:p>
    <w:p>
      <w:bookmarkStart w:id="160" w:name="c_bpk_cyber_excl_infrastructure_failure"/>
      <w:r>
        <w:rPr>
          <w:rFonts w:ascii="Georgia" w:hAnsi="Georgia" w:eastAsia="Georgia"/>
          <w:b/>
          <w:i w:val="0"/>
          <w:color w:val="2E5C4E"/>
          <w:sz w:val="25"/>
        </w:rPr>
        <w:t>Infrastructure Failure</w:t>
      </w:r>
      <w:bookmarkEnd w:id="160"/>
    </w:p>
    <w:p>
      <w:r>
        <w:rPr>
          <w:b w:val="0"/>
          <w:i w:val="0"/>
        </w:rPr>
        <w:t>Failure of electricity, gas, water, telecommunications, internet backbone or satellite infrastructure not under your control.</w:t>
      </w:r>
    </w:p>
    <w:p>
      <w:bookmarkStart w:id="161" w:name="c_bpk_cyber_excl_prior_matters"/>
      <w:r>
        <w:rPr>
          <w:rFonts w:ascii="Georgia" w:hAnsi="Georgia" w:eastAsia="Georgia"/>
          <w:b/>
          <w:i w:val="0"/>
          <w:color w:val="2E5C4E"/>
          <w:sz w:val="25"/>
        </w:rPr>
        <w:t>Prior Cyber Matters</w:t>
      </w:r>
      <w:bookmarkEnd w:id="161"/>
    </w:p>
    <w:p>
      <w:r>
        <w:rPr>
          <w:b w:val="0"/>
          <w:i w:val="0"/>
        </w:rPr>
        <w:t>A Cyber event first discovered, or facts known to a member of the Control group, before the Period of Insurance, or acts before the Retroactive date.</w:t>
      </w:r>
    </w:p>
    <w:p>
      <w:bookmarkStart w:id="162" w:name="c_bpk_cyber_excl_bodily_injury_and_prope"/>
      <w:r>
        <w:rPr>
          <w:rFonts w:ascii="Georgia" w:hAnsi="Georgia" w:eastAsia="Georgia"/>
          <w:b/>
          <w:i w:val="0"/>
          <w:color w:val="2E5C4E"/>
          <w:sz w:val="25"/>
        </w:rPr>
        <w:t>Bodily Injury and Property Damage (Cyber)</w:t>
      </w:r>
      <w:bookmarkEnd w:id="162"/>
    </w:p>
    <w:p>
      <w:r>
        <w:rPr>
          <w:b w:val="0"/>
          <w:i w:val="0"/>
        </w:rPr>
        <w:t>Bodily injury or damage to tangible property, other than mental injury arising from a privacy breach.</w:t>
      </w:r>
    </w:p>
    <w:p>
      <w:bookmarkStart w:id="163" w:name="c_bpk_cyber_excl_betterment"/>
      <w:r>
        <w:rPr>
          <w:rFonts w:ascii="Georgia" w:hAnsi="Georgia" w:eastAsia="Georgia"/>
          <w:b/>
          <w:i w:val="0"/>
          <w:color w:val="2E5C4E"/>
          <w:sz w:val="25"/>
        </w:rPr>
        <w:t>Betterment</w:t>
      </w:r>
      <w:bookmarkEnd w:id="163"/>
    </w:p>
    <w:p>
      <w:r>
        <w:rPr>
          <w:b w:val="0"/>
          <w:i w:val="0"/>
        </w:rPr>
        <w:t>The cost of improving your Computer system beyond its condition before the Cyber event.</w:t>
      </w:r>
    </w:p>
    <w:p>
      <w:bookmarkStart w:id="164" w:name="c_bpk_cyber_excl_cryptocurrency"/>
      <w:r>
        <w:rPr>
          <w:rFonts w:ascii="Georgia" w:hAnsi="Georgia" w:eastAsia="Georgia"/>
          <w:b/>
          <w:i w:val="0"/>
          <w:color w:val="2E5C4E"/>
          <w:sz w:val="25"/>
        </w:rPr>
        <w:t>Cryptocurrency</w:t>
      </w:r>
      <w:bookmarkEnd w:id="164"/>
    </w:p>
    <w:p>
      <w:r>
        <w:rPr>
          <w:b w:val="0"/>
          <w:i w:val="0"/>
        </w:rPr>
        <w:t xml:space="preserve">Loss of cryptocurrency or other digital assets, including when paid as ransom, unless we agree in writing under </w:t>
      </w:r>
      <w:hyperlink w:anchor="c_bpk_cyber_cover_extortion">
        <w:r>
          <w:rPr>
            <w:color w:val="2E5C4E"/>
            <w:u w:val="single"/>
          </w:rPr>
          <w:t xml:space="preserve">the Cyber Extortion clause</w:t>
        </w:r>
      </w:hyperlink>
      <w:r>
        <w:rPr>
          <w:b w:val="0"/>
          <w:i w:val="0"/>
        </w:rPr>
        <w:t>.</w:t>
      </w:r>
    </w:p>
    <w:p>
      <w:bookmarkStart w:id="165" w:name="c_bpk_cyber_excl_card_industry"/>
      <w:r>
        <w:rPr>
          <w:rFonts w:ascii="Georgia" w:hAnsi="Georgia" w:eastAsia="Georgia"/>
          <w:b/>
          <w:i w:val="0"/>
          <w:color w:val="2E5C4E"/>
          <w:sz w:val="25"/>
        </w:rPr>
        <w:t>Card Industry Fines</w:t>
      </w:r>
      <w:bookmarkEnd w:id="165"/>
    </w:p>
    <w:p>
      <w:r>
        <w:rPr>
          <w:b w:val="0"/>
          <w:i w:val="0"/>
        </w:rPr>
        <w:t>Fines or assessments under a payment card industry agreement, unless the Schedule shows them as covered.</w:t>
      </w:r>
    </w:p>
    <w:p>
      <w:bookmarkStart w:id="166" w:name="c_bpk_cyber_excl_spam"/>
      <w:r>
        <w:rPr>
          <w:rFonts w:ascii="Georgia" w:hAnsi="Georgia" w:eastAsia="Georgia"/>
          <w:b/>
          <w:i w:val="0"/>
          <w:color w:val="2E5C4E"/>
          <w:sz w:val="25"/>
        </w:rPr>
        <w:t>Spam</w:t>
      </w:r>
      <w:bookmarkEnd w:id="166"/>
    </w:p>
    <w:p>
      <w:r>
        <w:rPr>
          <w:b w:val="0"/>
          <w:i w:val="0"/>
        </w:rPr>
        <w:t>Unsolicited communications in breach of the Spam Act 2003 (Cth) or the Do Not Call Register Act 2006 (Cth).</w:t>
      </w:r>
    </w:p>
    <w:p>
      <w:bookmarkStart w:id="167" w:name="c_bpk_cyber_excl_intellectual_property"/>
      <w:r>
        <w:rPr>
          <w:rFonts w:ascii="Georgia" w:hAnsi="Georgia" w:eastAsia="Georgia"/>
          <w:b/>
          <w:i w:val="0"/>
          <w:color w:val="2E5C4E"/>
          <w:sz w:val="25"/>
        </w:rPr>
        <w:t>Intellectual Property</w:t>
      </w:r>
      <w:bookmarkEnd w:id="167"/>
    </w:p>
    <w:p>
      <w:r>
        <w:rPr>
          <w:b w:val="0"/>
          <w:i w:val="0"/>
        </w:rPr>
        <w:t>Infringement of patents or misappropriation of trade secrets.</w:t>
      </w:r>
    </w:p>
    <w:p>
      <w:bookmarkStart w:id="168" w:name="c_bpk_section_management_liability"/>
      <w:r>
        <w:rPr>
          <w:rFonts w:ascii="Georgia" w:hAnsi="Georgia" w:eastAsia="Georgia"/>
          <w:b/>
          <w:i w:val="0"/>
          <w:color w:val="1C1915"/>
          <w:sz w:val="32"/>
        </w:rPr>
        <w:t>Management Liability</w:t>
      </w:r>
      <w:bookmarkEnd w:id="168"/>
    </w:p>
    <w:p>
      <w:r>
        <w:rPr>
          <w:b w:val="0"/>
          <w:i w:val="0"/>
        </w:rPr>
        <w:t>Written once for the Business. We will pay, for a Claim first made during the Period of Insurance for a Wrongful act committed on or after the Retroactive date, under the insuring clauses below.</w:t>
      </w:r>
    </w:p>
    <w:p>
      <w:bookmarkStart w:id="169" w:name="c_bpk_ml_cover_directors_and_officers"/>
      <w:r>
        <w:rPr>
          <w:rFonts w:ascii="Georgia" w:hAnsi="Georgia" w:eastAsia="Georgia"/>
          <w:b/>
          <w:i w:val="0"/>
          <w:color w:val="2E5C4E"/>
          <w:sz w:val="25"/>
        </w:rPr>
        <w:t>Directors and Officers</w:t>
      </w:r>
      <w:bookmarkEnd w:id="169"/>
    </w:p>
    <w:p>
      <w:r>
        <w:rPr>
          <w:b w:val="0"/>
          <w:i w:val="0"/>
        </w:rPr>
        <w:t>The Loss of an Insured person that you do not indemnify.</w:t>
      </w:r>
    </w:p>
    <w:p>
      <w:bookmarkStart w:id="170" w:name="c_bpk_ml_cover_company_reimbursement"/>
      <w:r>
        <w:rPr>
          <w:rFonts w:ascii="Georgia" w:hAnsi="Georgia" w:eastAsia="Georgia"/>
          <w:b/>
          <w:i w:val="0"/>
          <w:color w:val="2E5C4E"/>
          <w:sz w:val="25"/>
        </w:rPr>
        <w:t>Company Reimbursement</w:t>
      </w:r>
      <w:bookmarkEnd w:id="170"/>
    </w:p>
    <w:p>
      <w:r>
        <w:rPr>
          <w:b w:val="0"/>
          <w:i w:val="0"/>
        </w:rPr>
        <w:t>Your Loss in indemnifying an Insured person, to the extent the law permits you to indemnify.</w:t>
      </w:r>
    </w:p>
    <w:p>
      <w:bookmarkStart w:id="171" w:name="c_bpk_ml_cover_company_liability"/>
      <w:r>
        <w:rPr>
          <w:rFonts w:ascii="Georgia" w:hAnsi="Georgia" w:eastAsia="Georgia"/>
          <w:b/>
          <w:i w:val="0"/>
          <w:color w:val="2E5C4E"/>
          <w:sz w:val="25"/>
        </w:rPr>
        <w:t>Company Liability</w:t>
      </w:r>
      <w:bookmarkEnd w:id="171"/>
    </w:p>
    <w:p>
      <w:r>
        <w:rPr>
          <w:b w:val="0"/>
          <w:i w:val="0"/>
        </w:rPr>
        <w:t>Your own Loss from a Claim against you.</w:t>
      </w:r>
    </w:p>
    <w:p>
      <w:bookmarkStart w:id="172" w:name="c_bpk_ml_cover_employment_practices"/>
      <w:r>
        <w:rPr>
          <w:rFonts w:ascii="Georgia" w:hAnsi="Georgia" w:eastAsia="Georgia"/>
          <w:b/>
          <w:i w:val="0"/>
          <w:color w:val="2E5C4E"/>
          <w:sz w:val="25"/>
        </w:rPr>
        <w:t>Employment Practices</w:t>
      </w:r>
      <w:bookmarkEnd w:id="172"/>
    </w:p>
    <w:p>
      <w:r>
        <w:rPr>
          <w:b w:val="0"/>
          <w:i w:val="0"/>
        </w:rPr>
        <w:t>Loss from an Employment claim.</w:t>
      </w:r>
    </w:p>
    <w:p>
      <w:bookmarkStart w:id="173" w:name="c_bpk_ml_cover_statutory_liability"/>
      <w:r>
        <w:rPr>
          <w:rFonts w:ascii="Georgia" w:hAnsi="Georgia" w:eastAsia="Georgia"/>
          <w:b/>
          <w:i w:val="0"/>
          <w:color w:val="2E5C4E"/>
          <w:sz w:val="25"/>
        </w:rPr>
        <w:t>Statutory Liability</w:t>
      </w:r>
      <w:bookmarkEnd w:id="173"/>
    </w:p>
    <w:p>
      <w:r>
        <w:rPr>
          <w:b w:val="0"/>
          <w:i w:val="0"/>
        </w:rPr>
        <w:t xml:space="preserve">Defence costs, and fines or penalties to the extent </w:t>
      </w:r>
      <w:hyperlink w:anchor="c_bpk_ml_statutory_insurability">
        <w:r>
          <w:rPr>
            <w:color w:val="2E5C4E"/>
            <w:u w:val="single"/>
          </w:rPr>
          <w:t xml:space="preserve">the Statutory Insurability exclusion</w:t>
        </w:r>
      </w:hyperlink>
      <w:r>
        <w:rPr>
          <w:b w:val="0"/>
          <w:i w:val="0"/>
        </w:rPr>
        <w:t xml:space="preserve"> permits, for a proceeding under a statute listed in the Schedule. We do not pay any fine or penalty that the law does not allow to be insured, as </w:t>
      </w:r>
      <w:hyperlink w:anchor="c_bpk_ml_statutory_insurability">
        <w:r>
          <w:rPr>
            <w:color w:val="2E5C4E"/>
            <w:u w:val="single"/>
          </w:rPr>
          <w:t xml:space="preserve">the Statutory Insurability exclusion</w:t>
        </w:r>
      </w:hyperlink>
      <w:r>
        <w:rPr>
          <w:b w:val="0"/>
          <w:i w:val="0"/>
        </w:rPr>
        <w:t xml:space="preserve"> says.</w:t>
      </w:r>
    </w:p>
    <w:p>
      <w:bookmarkStart w:id="174" w:name="c_bpk_ml_limits"/>
      <w:r>
        <w:rPr>
          <w:rFonts w:ascii="Georgia" w:hAnsi="Georgia" w:eastAsia="Georgia"/>
          <w:b/>
          <w:i w:val="0"/>
          <w:color w:val="2E5C4E"/>
          <w:sz w:val="25"/>
        </w:rPr>
        <w:t>Limits, Advancement and Allocation</w:t>
      </w:r>
      <w:bookmarkEnd w:id="174"/>
    </w:p>
    <w:p>
      <w:r>
        <w:rPr>
          <w:b w:val="0"/>
          <w:i w:val="0"/>
        </w:rPr>
        <w:t xml:space="preserve">The section limit shown in the Schedule is the most we pay for all Claims in the Period of Insurance, including defence costs. Sub-limits shown in the Schedule are part of the section limit. We advance defence costs as they are incurred. If a Final adjudication, or a court's finding, later establishes that an insured is not entitled to them, the insured must repay them, as </w:t>
      </w:r>
      <w:hyperlink w:anchor="c_bpk_ml_corporations_act_199">
        <w:r>
          <w:rPr>
            <w:color w:val="2E5C4E"/>
            <w:u w:val="single"/>
          </w:rPr>
          <w:t xml:space="preserve">the Corporations Act 2001 (Cth), sections 199A and 199B condition</w:t>
        </w:r>
      </w:hyperlink>
      <w:r>
        <w:rPr>
          <w:b w:val="0"/>
          <w:i w:val="0"/>
        </w:rPr>
        <w:t xml:space="preserve"> and </w:t>
      </w:r>
      <w:hyperlink w:anchor="c_bpk_ml_conduct">
        <w:r>
          <w:rPr>
            <w:color w:val="2E5C4E"/>
            <w:u w:val="single"/>
          </w:rPr>
          <w:t xml:space="preserve">the Conduct exclusion</w:t>
        </w:r>
      </w:hyperlink>
      <w:r>
        <w:rPr>
          <w:b w:val="0"/>
          <w:i w:val="0"/>
        </w:rPr>
        <w:t xml:space="preserve"> provide. Where a Claim involves covered and uncovered matters or parties, we pay the share that fairly reflects the covered part, having regard to the relative legal and financial exposures.</w:t>
      </w:r>
    </w:p>
    <w:p>
      <w:bookmarkStart w:id="175" w:name="c_bpk_ml_statutory_insurability"/>
      <w:r>
        <w:rPr>
          <w:rFonts w:ascii="Georgia" w:hAnsi="Georgia" w:eastAsia="Georgia"/>
          <w:b/>
          <w:i w:val="0"/>
          <w:color w:val="2E5C4E"/>
          <w:sz w:val="25"/>
        </w:rPr>
        <w:t>Statutory Insurability</w:t>
      </w:r>
      <w:bookmarkEnd w:id="175"/>
    </w:p>
    <w:p>
      <w:r>
        <w:rPr>
          <w:b w:val="0"/>
          <w:i w:val="0"/>
        </w:rPr>
        <w:t xml:space="preserve">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 Loss does not include any of these. Defence costs for those proceedings remain covered, subject to </w:t>
      </w:r>
      <w:hyperlink w:anchor="c_bpk_ml_corporations_act_199">
        <w:r>
          <w:rPr>
            <w:color w:val="2E5C4E"/>
            <w:u w:val="single"/>
          </w:rPr>
          <w:t xml:space="preserve">the Corporations Act 2001 (Cth), sections 199A and 199B condition</w:t>
        </w:r>
      </w:hyperlink>
      <w:r>
        <w:rPr>
          <w:b w:val="0"/>
          <w:i w:val="0"/>
        </w:rPr>
        <w:t>.</w:t>
      </w:r>
    </w:p>
    <w:p>
      <w:r>
        <w:rPr>
          <w:b w:val="0"/>
          <w:i w:val="0"/>
        </w:rPr>
        <w:t>[WP REVIEW: confirm the list of jurisdictions that prohibit insurance of WHS penalties; library sources differ on WA and Victoria.]</w:t>
      </w:r>
    </w:p>
    <w:p>
      <w:bookmarkStart w:id="176" w:name="c_bpk_ml_corporations_act_199"/>
      <w:r>
        <w:rPr>
          <w:rFonts w:ascii="Georgia" w:hAnsi="Georgia" w:eastAsia="Georgia"/>
          <w:b/>
          <w:i w:val="0"/>
          <w:color w:val="2E5C4E"/>
          <w:sz w:val="25"/>
        </w:rPr>
        <w:t>Corporations Act 2001 (Cth), sections 199A and 199B</w:t>
      </w:r>
      <w:bookmarkEnd w:id="176"/>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Insured person for a liability, other than legal costs, that section 199B prevents the company from insuring. This does not reduce cover for any other liability, or for legal costs.</w:t>
      </w:r>
    </w:p>
    <w:p>
      <w:r>
        <w:rPr>
          <w:b w:val="0"/>
          <w:i w:val="0"/>
        </w:rPr>
        <w:t>Where we advance defence costs in a civil penalty or criminal proceeding, the Insured person must repay them if a Final adjudication, or a court's finding, establishes conduct that this Policy or the law does not allow to be covered.</w:t>
      </w:r>
    </w:p>
    <w:p>
      <w:r>
        <w:rPr>
          <w:b w:val="0"/>
          <w:i w:val="0"/>
        </w:rPr>
        <w:t>[WP REVIEW: confirm this statement of ss 199A and 199B, and whether cover for a liability within s 199B can be provided where the insured person pays the relevant part of the premium.]</w:t>
      </w:r>
    </w:p>
    <w:p>
      <w:bookmarkStart w:id="177" w:name="c_bpk_ml_conduct"/>
      <w:r>
        <w:rPr>
          <w:rFonts w:ascii="Georgia" w:hAnsi="Georgia" w:eastAsia="Georgia"/>
          <w:b/>
          <w:i w:val="0"/>
          <w:color w:val="2E5C4E"/>
          <w:sz w:val="25"/>
        </w:rPr>
        <w:t>Conduct</w:t>
      </w:r>
      <w:bookmarkEnd w:id="177"/>
    </w:p>
    <w:p>
      <w:r>
        <w:rPr>
          <w:b w:val="0"/>
          <w:i w:val="0"/>
        </w:rPr>
        <w:t xml:space="preserve">We do not cover Loss arising from a deliberately dishonest or fraudulent act, or from an insured gaining a profit or advantage to which it was not legally entitled, but only where this is established by Final adjudication or written admission. Until then we advance defence costs under </w:t>
      </w:r>
      <w:hyperlink w:anchor="c_bpk_ml_limits">
        <w:r>
          <w:rPr>
            <w:color w:val="2E5C4E"/>
            <w:u w:val="single"/>
          </w:rPr>
          <w:t xml:space="preserve">the Limits, Advancement and Allocation provision</w:t>
        </w:r>
      </w:hyperlink>
      <w:r>
        <w:rPr>
          <w:b w:val="0"/>
          <w:i w:val="0"/>
        </w:rPr>
        <w:t xml:space="preserve">. The conduct of one Insured person is not imputed to another Insured person. The conduct of a director or chief financial officer is imputed to you for </w:t>
      </w:r>
      <w:hyperlink w:anchor="c_bpk_ml_cover_company_liability">
        <w:r>
          <w:rPr>
            <w:color w:val="2E5C4E"/>
            <w:u w:val="single"/>
          </w:rPr>
          <w:t xml:space="preserve">the Company Liability clause</w:t>
        </w:r>
      </w:hyperlink>
      <w:r>
        <w:rPr>
          <w:b w:val="0"/>
          <w:i w:val="0"/>
        </w:rPr>
        <w:t>.</w:t>
      </w:r>
    </w:p>
    <w:p>
      <w:bookmarkStart w:id="178" w:name="c_bpk_ml_claims_made"/>
      <w:r>
        <w:rPr>
          <w:rFonts w:ascii="Georgia" w:hAnsi="Georgia" w:eastAsia="Georgia"/>
          <w:b/>
          <w:i w:val="0"/>
          <w:color w:val="2E5C4E"/>
          <w:sz w:val="25"/>
        </w:rPr>
        <w:t>Management Liability Claims-made Conditions</w:t>
      </w:r>
      <w:bookmarkEnd w:id="178"/>
    </w:p>
    <w:p>
      <w:r>
        <w:rPr>
          <w:b w:val="0"/>
          <w:i w:val="0"/>
        </w:rPr>
        <w:t xml:space="preserve">All Claims arising from the same, similar or related Wrongful acts are one Claim, first made when the earliest was first made. </w:t>
      </w:r>
      <w:hyperlink w:anchor="c_bpk_cond_notice_of_circumstances">
        <w:r>
          <w:rPr>
            <w:color w:val="2E5C4E"/>
            <w:u w:val="single"/>
          </w:rPr>
          <w:t xml:space="preserve">The Notice of Circumstances condition</w:t>
        </w:r>
      </w:hyperlink>
      <w:r>
        <w:rPr>
          <w:b w:val="0"/>
          <w:i w:val="0"/>
        </w:rPr>
        <w:t xml:space="preserve"> applies. If we cancel or do not renew this section, you may buy an Extended reporting period of 12 months for Claims for Wrongful acts before cancellation or expiry, by paying the additional premium shown in the Schedule within 30 days. Retired Insured persons have the run-off period shown in the Schedule.</w:t>
      </w:r>
    </w:p>
    <w:p>
      <w:bookmarkStart w:id="179" w:name="c_bpk_ml_additional_benefits"/>
      <w:r>
        <w:rPr>
          <w:rFonts w:ascii="Georgia" w:hAnsi="Georgia" w:eastAsia="Georgia"/>
          <w:b/>
          <w:i w:val="0"/>
          <w:color w:val="2E5C4E"/>
          <w:sz w:val="25"/>
        </w:rPr>
        <w:t>Management Liability Additional Benefits</w:t>
      </w:r>
      <w:bookmarkEnd w:id="179"/>
    </w:p>
    <w:p>
      <w:r>
        <w:rPr>
          <w:b w:val="0"/>
          <w:i w:val="0"/>
        </w:rPr>
        <w:t xml:space="preserve">Each up to the sub-limit shown in the Schedule (defaults in </w:t>
      </w:r>
      <w:hyperlink w:anchor="c_bpk_appendix_default_schedule_values">
        <w:r>
          <w:rPr>
            <w:color w:val="2E5C4E"/>
            <w:u w:val="single"/>
          </w:rPr>
          <w:t xml:space="preserve">the Default Schedule Values</w:t>
        </w:r>
      </w:hyperlink>
      <w:r>
        <w:rPr>
          <w:b w:val="0"/>
          <w:i w:val="0"/>
        </w:rPr>
        <w:t>), within the section limit:</w:t>
      </w:r>
    </w:p>
    <w:p>
      <w:pPr>
        <w:pStyle w:val="ListBullet"/>
      </w:pPr>
      <w:r>
        <w:rPr>
          <w:b w:val="0"/>
          <w:i w:val="0"/>
        </w:rPr>
        <w:t>investigation costs;</w:t>
      </w:r>
    </w:p>
    <w:p>
      <w:pPr>
        <w:pStyle w:val="ListBullet"/>
      </w:pPr>
      <w:r>
        <w:rPr>
          <w:b w:val="0"/>
          <w:i w:val="0"/>
        </w:rPr>
        <w:t>work health and safety defence costs; and</w:t>
      </w:r>
    </w:p>
    <w:p>
      <w:pPr>
        <w:pStyle w:val="ListBullet"/>
      </w:pPr>
      <w:r>
        <w:rPr>
          <w:b w:val="0"/>
          <w:i w:val="0"/>
        </w:rPr>
        <w:t>counselling for Employees after a covered Employment claim.</w:t>
      </w:r>
    </w:p>
    <w:p>
      <w:bookmarkStart w:id="180" w:name="c_bpk_ml_exclusions"/>
      <w:r>
        <w:rPr>
          <w:rFonts w:ascii="Georgia" w:hAnsi="Georgia" w:eastAsia="Georgia"/>
          <w:b/>
          <w:i w:val="0"/>
          <w:color w:val="2E5C4E"/>
          <w:sz w:val="25"/>
        </w:rPr>
        <w:t>Management Liability Exclusions</w:t>
      </w:r>
      <w:bookmarkEnd w:id="180"/>
    </w:p>
    <w:p>
      <w:r>
        <w:rPr>
          <w:b w:val="0"/>
          <w:i w:val="0"/>
        </w:rPr>
        <w:t xml:space="preserve">We do not cover under </w:t>
      </w:r>
      <w:hyperlink w:anchor="c_bpk_section_management_liability">
        <w:r>
          <w:rPr>
            <w:color w:val="2E5C4E"/>
            <w:u w:val="single"/>
          </w:rPr>
          <w:t xml:space="preserve">the Management Liability section</w:t>
        </w:r>
      </w:hyperlink>
      <w:r>
        <w:rPr>
          <w:b w:val="0"/>
          <w:i w:val="0"/>
        </w:rPr>
        <w:t xml:space="preserve"> a Claim:</w:t>
      </w:r>
    </w:p>
    <w:p>
      <w:pPr>
        <w:pStyle w:val="ListBullet"/>
      </w:pPr>
      <w:r>
        <w:rPr>
          <w:b w:val="0"/>
          <w:i w:val="0"/>
        </w:rPr>
        <w:t xml:space="preserve">for Personal injury or Property damage, except mental injury in an Employment claim and defence costs under </w:t>
      </w:r>
      <w:hyperlink w:anchor="c_bpk_ml_cover_statutory_liability">
        <w:r>
          <w:rPr>
            <w:color w:val="2E5C4E"/>
            <w:u w:val="single"/>
          </w:rPr>
          <w:t xml:space="preserve">the Statutory Liability clause</w:t>
        </w:r>
      </w:hyperlink>
      <w:r>
        <w:rPr>
          <w:b w:val="0"/>
          <w:i w:val="0"/>
        </w:rPr>
        <w:t>;</w:t>
      </w:r>
    </w:p>
    <w:p>
      <w:pPr>
        <w:pStyle w:val="ListBullet"/>
      </w:pPr>
      <w:r>
        <w:rPr>
          <w:b w:val="0"/>
          <w:i w:val="0"/>
        </w:rPr>
        <w:t>for professional services provided to others for a fee;</w:t>
      </w:r>
    </w:p>
    <w:p>
      <w:pPr>
        <w:pStyle w:val="ListBullet"/>
      </w:pPr>
      <w:r>
        <w:rPr>
          <w:b w:val="0"/>
          <w:i w:val="0"/>
        </w:rPr>
        <w:t>by you or a related entity holding more than the shareholding percentage shown in the Schedule, except an Employment claim or a derivative action brought independently;</w:t>
      </w:r>
    </w:p>
    <w:p>
      <w:pPr>
        <w:pStyle w:val="ListBullet"/>
      </w:pPr>
      <w:r>
        <w:rPr>
          <w:b w:val="0"/>
          <w:i w:val="0"/>
        </w:rPr>
        <w:t>arising from facts notified under an earlier policy, or proceedings pending before the pending and prior date shown in the Schedule;</w:t>
      </w:r>
    </w:p>
    <w:p>
      <w:pPr>
        <w:pStyle w:val="ListBullet"/>
      </w:pPr>
      <w:r>
        <w:rPr>
          <w:b w:val="0"/>
          <w:i w:val="0"/>
        </w:rPr>
        <w:t xml:space="preserve">for the cost of a product recall or a liability covered under </w:t>
      </w:r>
      <w:hyperlink w:anchor="c_bpk_section_liability">
        <w:r>
          <w:rPr>
            <w:color w:val="2E5C4E"/>
            <w:u w:val="single"/>
          </w:rPr>
          <w:t xml:space="preserve">the Public and Products Liability section</w:t>
        </w:r>
      </w:hyperlink>
      <w:r>
        <w:rPr>
          <w:b w:val="0"/>
          <w:i w:val="0"/>
        </w:rPr>
        <w:t>;</w:t>
      </w:r>
    </w:p>
    <w:p>
      <w:pPr>
        <w:pStyle w:val="ListBullet"/>
      </w:pPr>
      <w:r>
        <w:rPr>
          <w:b w:val="0"/>
          <w:i w:val="0"/>
        </w:rPr>
        <w:t>for a Cyber event, except an Employment claim relating to employee data; or</w:t>
      </w:r>
    </w:p>
    <w:p>
      <w:pPr>
        <w:pStyle w:val="ListBullet"/>
      </w:pPr>
      <w:r>
        <w:rPr>
          <w:b w:val="0"/>
          <w:i w:val="0"/>
        </w:rPr>
        <w:t>brought in the United States of America or Canada, or under their laws.</w:t>
      </w:r>
    </w:p>
    <w:p>
      <w:r>
        <w:rPr>
          <w:b w:val="0"/>
          <w:i w:val="0"/>
        </w:rPr>
        <w:t>There is no exclusion for your insolvency.</w:t>
      </w:r>
    </w:p>
    <w:p>
      <w:bookmarkStart w:id="181" w:name="c_bpk_endorsement_library"/>
      <w:r>
        <w:rPr>
          <w:rFonts w:ascii="Georgia" w:hAnsi="Georgia" w:eastAsia="Georgia"/>
          <w:b/>
          <w:i w:val="0"/>
          <w:color w:val="1C1915"/>
          <w:sz w:val="32"/>
        </w:rPr>
        <w:t>Endorsement Library</w:t>
      </w:r>
      <w:bookmarkEnd w:id="181"/>
    </w:p>
    <w:p>
      <w:r>
        <w:rPr>
          <w:b w:val="0"/>
          <w:i w:val="0"/>
        </w:rPr>
        <w:t xml:space="preserve">An Endorsement applies only where its code is shown in the Schedule. Each modifies only the clause it names, and is read together with the variables shown for it in the Schedule. Other terms of this Policy continue to apply. If a variable an Endorsement needs is not shown in the Schedule, the default in </w:t>
      </w:r>
      <w:hyperlink w:anchor="c_bpk_appendix_default_schedule_values">
        <w:r>
          <w:rPr>
            <w:color w:val="2E5C4E"/>
            <w:u w:val="single"/>
          </w:rPr>
          <w:t xml:space="preserve">the Default Schedule Values</w:t>
        </w:r>
      </w:hyperlink>
      <w:r>
        <w:rPr>
          <w:b w:val="0"/>
          <w:i w:val="0"/>
        </w:rPr>
        <w:t xml:space="preserve"> applies; if there is none, the Endorsement does not apply until we show the variable in the Schedule.</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r/>
            <w:r>
              <w:rPr>
                <w:b w:val="0"/>
                <w:i w:val="0"/>
              </w:rPr>
              <w:t>Code</w:t>
            </w:r>
          </w:p>
        </w:tc>
        <w:tc>
          <w:tcPr>
            <w:tcW w:type="dxa" w:w="2436"/>
          </w:tcPr>
          <w:p>
            <w:r/>
            <w:r>
              <w:rPr>
                <w:b w:val="0"/>
                <w:i w:val="0"/>
              </w:rPr>
              <w:t>Endorsement</w:t>
            </w:r>
          </w:p>
        </w:tc>
        <w:tc>
          <w:tcPr>
            <w:tcW w:type="dxa" w:w="2436"/>
          </w:tcPr>
          <w:p>
            <w:r/>
            <w:r>
              <w:rPr>
                <w:b w:val="0"/>
                <w:i w:val="0"/>
              </w:rPr>
              <w:t>Section</w:t>
            </w:r>
          </w:p>
        </w:tc>
        <w:tc>
          <w:tcPr>
            <w:tcW w:type="dxa" w:w="2436"/>
          </w:tcPr>
          <w:p>
            <w:r/>
            <w:r>
              <w:rPr>
                <w:b w:val="0"/>
                <w:i w:val="0"/>
              </w:rPr>
              <w:t>Effect</w:t>
            </w:r>
          </w:p>
        </w:tc>
      </w:tr>
      <w:tr>
        <w:tc>
          <w:tcPr>
            <w:tcW w:type="dxa" w:w="2436"/>
          </w:tcPr>
          <w:p>
            <w:r/>
            <w:r>
              <w:rPr>
                <w:b w:val="0"/>
                <w:i w:val="0"/>
              </w:rPr>
              <w:t>E01</w:t>
            </w:r>
          </w:p>
        </w:tc>
        <w:tc>
          <w:tcPr>
            <w:tcW w:type="dxa" w:w="2436"/>
          </w:tcPr>
          <w:p>
            <w:r/>
            <w:r>
              <w:rPr>
                <w:b w:val="0"/>
                <w:i w:val="0"/>
              </w:rPr>
              <w:t>Accidental Damage</w:t>
            </w:r>
          </w:p>
        </w:tc>
        <w:tc>
          <w:tcPr>
            <w:tcW w:type="dxa" w:w="2436"/>
          </w:tcPr>
          <w:p>
            <w:r/>
            <w:hyperlink w:anchor="c_bpk_section_property_damage">
              <w:r>
                <w:rPr>
                  <w:color w:val="2E5C4E"/>
                  <w:u w:val="single"/>
                </w:rPr>
                <w:t xml:space="preserve">Property Damage</w:t>
              </w:r>
            </w:hyperlink>
          </w:p>
        </w:tc>
        <w:tc>
          <w:tcPr>
            <w:tcW w:type="dxa" w:w="2436"/>
          </w:tcPr>
          <w:p>
            <w:r/>
            <w:r>
              <w:rPr>
                <w:b w:val="0"/>
                <w:i w:val="0"/>
              </w:rPr>
              <w:t>Extends the insured events to accidental Damage, to a sub-limit</w:t>
            </w:r>
          </w:p>
        </w:tc>
      </w:tr>
      <w:tr>
        <w:tc>
          <w:tcPr>
            <w:tcW w:type="dxa" w:w="2436"/>
          </w:tcPr>
          <w:p>
            <w:r/>
            <w:r>
              <w:rPr>
                <w:b w:val="0"/>
                <w:i w:val="0"/>
              </w:rPr>
              <w:t>E02</w:t>
            </w:r>
          </w:p>
        </w:tc>
        <w:tc>
          <w:tcPr>
            <w:tcW w:type="dxa" w:w="2436"/>
          </w:tcPr>
          <w:p>
            <w:r/>
            <w:r>
              <w:rPr>
                <w:b w:val="0"/>
                <w:i w:val="0"/>
              </w:rPr>
              <w:t>Flood</w:t>
            </w:r>
          </w:p>
        </w:tc>
        <w:tc>
          <w:tcPr>
            <w:tcW w:type="dxa" w:w="2436"/>
          </w:tcPr>
          <w:p>
            <w:r/>
            <w:hyperlink w:anchor="c_bpk_section_property_damage">
              <w:r>
                <w:rPr>
                  <w:color w:val="2E5C4E"/>
                  <w:u w:val="single"/>
                </w:rPr>
                <w:t xml:space="preserve">Property Damage</w:t>
              </w:r>
            </w:hyperlink>
          </w:p>
        </w:tc>
        <w:tc>
          <w:tcPr>
            <w:tcW w:type="dxa" w:w="2436"/>
          </w:tcPr>
          <w:p>
            <w:r/>
            <w:r>
              <w:rPr>
                <w:b w:val="0"/>
                <w:i w:val="0"/>
              </w:rPr>
              <w:t>Removes flood or limits it to a sub-limit</w:t>
            </w:r>
          </w:p>
        </w:tc>
      </w:tr>
      <w:tr>
        <w:tc>
          <w:tcPr>
            <w:tcW w:type="dxa" w:w="2436"/>
          </w:tcPr>
          <w:p>
            <w:r/>
            <w:r>
              <w:rPr>
                <w:b w:val="0"/>
                <w:i w:val="0"/>
              </w:rPr>
              <w:t>E03</w:t>
            </w:r>
          </w:p>
        </w:tc>
        <w:tc>
          <w:tcPr>
            <w:tcW w:type="dxa" w:w="2436"/>
          </w:tcPr>
          <w:p>
            <w:r/>
            <w:r>
              <w:rPr>
                <w:b w:val="0"/>
                <w:i w:val="0"/>
              </w:rPr>
              <w:t>Seasonal Stock Increase</w:t>
            </w:r>
          </w:p>
        </w:tc>
        <w:tc>
          <w:tcPr>
            <w:tcW w:type="dxa" w:w="2436"/>
          </w:tcPr>
          <w:p>
            <w:r/>
            <w:hyperlink w:anchor="c_bpk_section_property_damage">
              <w:r>
                <w:rPr>
                  <w:color w:val="2E5C4E"/>
                  <w:u w:val="single"/>
                </w:rPr>
                <w:t xml:space="preserve">Property Damage</w:t>
              </w:r>
            </w:hyperlink>
          </w:p>
        </w:tc>
        <w:tc>
          <w:tcPr>
            <w:tcW w:type="dxa" w:w="2436"/>
          </w:tcPr>
          <w:p>
            <w:r/>
            <w:r>
              <w:rPr>
                <w:b w:val="0"/>
                <w:i w:val="0"/>
              </w:rPr>
              <w:t>Increases the Stock Sum insured in the months shown</w:t>
            </w:r>
          </w:p>
        </w:tc>
      </w:tr>
      <w:tr>
        <w:tc>
          <w:tcPr>
            <w:tcW w:type="dxa" w:w="2436"/>
          </w:tcPr>
          <w:p>
            <w:r/>
            <w:r>
              <w:rPr>
                <w:b w:val="0"/>
                <w:i w:val="0"/>
              </w:rPr>
              <w:t>E04</w:t>
            </w:r>
          </w:p>
        </w:tc>
        <w:tc>
          <w:tcPr>
            <w:tcW w:type="dxa" w:w="2436"/>
          </w:tcPr>
          <w:p>
            <w:r/>
            <w:r>
              <w:rPr>
                <w:b w:val="0"/>
                <w:i w:val="0"/>
              </w:rPr>
              <w:t>Equipment Damage Consequential Loss</w:t>
            </w:r>
          </w:p>
        </w:tc>
        <w:tc>
          <w:tcPr>
            <w:tcW w:type="dxa" w:w="2436"/>
          </w:tcPr>
          <w:p>
            <w:r/>
            <w:hyperlink w:anchor="c_bpk_section_equipment">
              <w:r>
                <w:rPr>
                  <w:color w:val="2E5C4E"/>
                  <w:u w:val="single"/>
                </w:rPr>
                <w:t xml:space="preserve">Equipment Damage</w:t>
              </w:r>
            </w:hyperlink>
          </w:p>
        </w:tc>
        <w:tc>
          <w:tcPr>
            <w:tcW w:type="dxa" w:w="2436"/>
          </w:tcPr>
          <w:p>
            <w:r/>
            <w:r>
              <w:rPr>
                <w:b w:val="0"/>
                <w:i w:val="0"/>
              </w:rPr>
              <w:t>Covers loss of gross profit after Breakdown</w:t>
            </w:r>
          </w:p>
        </w:tc>
      </w:tr>
      <w:tr>
        <w:tc>
          <w:tcPr>
            <w:tcW w:type="dxa" w:w="2436"/>
          </w:tcPr>
          <w:p>
            <w:r/>
            <w:r>
              <w:rPr>
                <w:b w:val="0"/>
                <w:i w:val="0"/>
              </w:rPr>
              <w:t>E05</w:t>
            </w:r>
          </w:p>
        </w:tc>
        <w:tc>
          <w:tcPr>
            <w:tcW w:type="dxa" w:w="2436"/>
          </w:tcPr>
          <w:p>
            <w:r/>
            <w:r>
              <w:rPr>
                <w:b w:val="0"/>
                <w:i w:val="0"/>
              </w:rPr>
              <w:t>Increased Tenants' Liability</w:t>
            </w:r>
          </w:p>
        </w:tc>
        <w:tc>
          <w:tcPr>
            <w:tcW w:type="dxa" w:w="2436"/>
          </w:tcPr>
          <w:p>
            <w:r/>
            <w:hyperlink w:anchor="c_bpk_section_liability">
              <w:r>
                <w:rPr>
                  <w:color w:val="2E5C4E"/>
                  <w:u w:val="single"/>
                </w:rPr>
                <w:t xml:space="preserve">Public and Products Liability</w:t>
              </w:r>
            </w:hyperlink>
          </w:p>
        </w:tc>
        <w:tc>
          <w:tcPr>
            <w:tcW w:type="dxa" w:w="2436"/>
          </w:tcPr>
          <w:p>
            <w:r/>
            <w:r>
              <w:rPr>
                <w:b w:val="0"/>
                <w:i w:val="0"/>
              </w:rPr>
              <w:t>Increases the tenants' liability sub-limit</w:t>
            </w:r>
          </w:p>
        </w:tc>
      </w:tr>
      <w:tr>
        <w:tc>
          <w:tcPr>
            <w:tcW w:type="dxa" w:w="2436"/>
          </w:tcPr>
          <w:p>
            <w:r/>
            <w:r>
              <w:rPr>
                <w:b w:val="0"/>
                <w:i w:val="0"/>
              </w:rPr>
              <w:t>E06</w:t>
            </w:r>
          </w:p>
        </w:tc>
        <w:tc>
          <w:tcPr>
            <w:tcW w:type="dxa" w:w="2436"/>
          </w:tcPr>
          <w:p>
            <w:r/>
            <w:r>
              <w:rPr>
                <w:b w:val="0"/>
                <w:i w:val="0"/>
              </w:rPr>
              <w:t>Increased Property in Physical or Legal Control</w:t>
            </w:r>
          </w:p>
        </w:tc>
        <w:tc>
          <w:tcPr>
            <w:tcW w:type="dxa" w:w="2436"/>
          </w:tcPr>
          <w:p>
            <w:r/>
            <w:hyperlink w:anchor="c_bpk_section_liability">
              <w:r>
                <w:rPr>
                  <w:color w:val="2E5C4E"/>
                  <w:u w:val="single"/>
                </w:rPr>
                <w:t xml:space="preserve">Public and Products Liability</w:t>
              </w:r>
            </w:hyperlink>
          </w:p>
        </w:tc>
        <w:tc>
          <w:tcPr>
            <w:tcW w:type="dxa" w:w="2436"/>
          </w:tcPr>
          <w:p>
            <w:r/>
            <w:r>
              <w:rPr>
                <w:b w:val="0"/>
                <w:i w:val="0"/>
              </w:rPr>
              <w:t>Increases the property in control sub-limit</w:t>
            </w:r>
          </w:p>
        </w:tc>
      </w:tr>
      <w:tr>
        <w:tc>
          <w:tcPr>
            <w:tcW w:type="dxa" w:w="2436"/>
          </w:tcPr>
          <w:p>
            <w:r/>
            <w:r>
              <w:rPr>
                <w:b w:val="0"/>
                <w:i w:val="0"/>
              </w:rPr>
              <w:t>E07</w:t>
            </w:r>
          </w:p>
        </w:tc>
        <w:tc>
          <w:tcPr>
            <w:tcW w:type="dxa" w:w="2436"/>
          </w:tcPr>
          <w:p>
            <w:r/>
            <w:r>
              <w:rPr>
                <w:b w:val="0"/>
                <w:i w:val="0"/>
              </w:rPr>
              <w:t>Product Recall Costs</w:t>
            </w:r>
          </w:p>
        </w:tc>
        <w:tc>
          <w:tcPr>
            <w:tcW w:type="dxa" w:w="2436"/>
          </w:tcPr>
          <w:p>
            <w:r/>
            <w:hyperlink w:anchor="c_bpk_section_liability">
              <w:r>
                <w:rPr>
                  <w:color w:val="2E5C4E"/>
                  <w:u w:val="single"/>
                </w:rPr>
                <w:t xml:space="preserve">Public and Products Liability</w:t>
              </w:r>
            </w:hyperlink>
          </w:p>
        </w:tc>
        <w:tc>
          <w:tcPr>
            <w:tcW w:type="dxa" w:w="2436"/>
          </w:tcPr>
          <w:p>
            <w:r/>
            <w:r>
              <w:rPr>
                <w:b w:val="0"/>
                <w:i w:val="0"/>
              </w:rPr>
              <w:t>Pays the costs of recalling Your products, to an aggregate sub-limit</w:t>
            </w:r>
          </w:p>
        </w:tc>
      </w:tr>
      <w:tr>
        <w:tc>
          <w:tcPr>
            <w:tcW w:type="dxa" w:w="2436"/>
          </w:tcPr>
          <w:p>
            <w:r/>
            <w:r>
              <w:rPr>
                <w:b w:val="0"/>
                <w:i w:val="0"/>
              </w:rPr>
              <w:t>E08</w:t>
            </w:r>
          </w:p>
        </w:tc>
        <w:tc>
          <w:tcPr>
            <w:tcW w:type="dxa" w:w="2436"/>
          </w:tcPr>
          <w:p>
            <w:r/>
            <w:r>
              <w:rPr>
                <w:b w:val="0"/>
                <w:i w:val="0"/>
              </w:rPr>
              <w:t>Minor Contract Works</w:t>
            </w:r>
          </w:p>
        </w:tc>
        <w:tc>
          <w:tcPr>
            <w:tcW w:type="dxa" w:w="2436"/>
          </w:tcPr>
          <w:p>
            <w:r/>
            <w:hyperlink w:anchor="c_bpk_section_property_damage">
              <w:r>
                <w:rPr>
                  <w:color w:val="2E5C4E"/>
                  <w:u w:val="single"/>
                </w:rPr>
                <w:t xml:space="preserve">Property Damage</w:t>
              </w:r>
            </w:hyperlink>
          </w:p>
        </w:tc>
        <w:tc>
          <w:tcPr>
            <w:tcW w:type="dxa" w:w="2436"/>
          </w:tcPr>
          <w:p>
            <w:r/>
            <w:r>
              <w:rPr>
                <w:b w:val="0"/>
                <w:i w:val="0"/>
              </w:rPr>
              <w:t>Covers property under construction up to a contract value</w:t>
            </w:r>
          </w:p>
        </w:tc>
      </w:tr>
      <w:tr>
        <w:tc>
          <w:tcPr>
            <w:tcW w:type="dxa" w:w="2436"/>
          </w:tcPr>
          <w:p>
            <w:r/>
            <w:r>
              <w:rPr>
                <w:b w:val="0"/>
                <w:i w:val="0"/>
              </w:rPr>
              <w:t>E09</w:t>
            </w:r>
          </w:p>
        </w:tc>
        <w:tc>
          <w:tcPr>
            <w:tcW w:type="dxa" w:w="2436"/>
          </w:tcPr>
          <w:p>
            <w:r/>
            <w:r>
              <w:rPr>
                <w:b w:val="0"/>
                <w:i w:val="0"/>
              </w:rPr>
              <w:t>Interests of Lessors and Financiers</w:t>
            </w:r>
          </w:p>
        </w:tc>
        <w:tc>
          <w:tcPr>
            <w:tcW w:type="dxa" w:w="2436"/>
          </w:tcPr>
          <w:p>
            <w:r/>
            <w:r>
              <w:rPr>
                <w:b w:val="0"/>
                <w:i w:val="0"/>
              </w:rPr>
              <w:t>All sections</w:t>
            </w:r>
          </w:p>
        </w:tc>
        <w:tc>
          <w:tcPr>
            <w:tcW w:type="dxa" w:w="2436"/>
          </w:tcPr>
          <w:p>
            <w:r/>
            <w:r>
              <w:rPr>
                <w:b w:val="0"/>
                <w:i w:val="0"/>
              </w:rPr>
              <w:t>Notes lessors and financiers as Interested parties</w:t>
            </w:r>
          </w:p>
        </w:tc>
      </w:tr>
      <w:tr>
        <w:tc>
          <w:tcPr>
            <w:tcW w:type="dxa" w:w="2436"/>
          </w:tcPr>
          <w:p>
            <w:r/>
            <w:r>
              <w:rPr>
                <w:b w:val="0"/>
                <w:i w:val="0"/>
              </w:rPr>
              <w:t>E10</w:t>
            </w:r>
          </w:p>
        </w:tc>
        <w:tc>
          <w:tcPr>
            <w:tcW w:type="dxa" w:w="2436"/>
          </w:tcPr>
          <w:p>
            <w:r/>
            <w:r>
              <w:rPr>
                <w:b w:val="0"/>
                <w:i w:val="0"/>
              </w:rPr>
              <w:t>Hot Works</w:t>
            </w:r>
          </w:p>
        </w:tc>
        <w:tc>
          <w:tcPr>
            <w:tcW w:type="dxa" w:w="2436"/>
          </w:tcPr>
          <w:p>
            <w:r/>
            <w:hyperlink w:anchor="c_bpk_section_liability">
              <w:r>
                <w:rPr>
                  <w:color w:val="2E5C4E"/>
                  <w:u w:val="single"/>
                </w:rPr>
                <w:t xml:space="preserve">Public and Products Liability</w:t>
              </w:r>
            </w:hyperlink>
          </w:p>
        </w:tc>
        <w:tc>
          <w:tcPr>
            <w:tcW w:type="dxa" w:w="2436"/>
          </w:tcPr>
          <w:p>
            <w:r/>
            <w:r>
              <w:rPr>
                <w:b w:val="0"/>
                <w:i w:val="0"/>
              </w:rPr>
              <w:t>Writes back hot works away from your Premises, with conditions</w:t>
            </w:r>
          </w:p>
        </w:tc>
      </w:tr>
      <w:tr>
        <w:tc>
          <w:tcPr>
            <w:tcW w:type="dxa" w:w="2436"/>
          </w:tcPr>
          <w:p>
            <w:r/>
            <w:r>
              <w:rPr>
                <w:b w:val="0"/>
                <w:i w:val="0"/>
              </w:rPr>
              <w:t>E11</w:t>
            </w:r>
          </w:p>
        </w:tc>
        <w:tc>
          <w:tcPr>
            <w:tcW w:type="dxa" w:w="2436"/>
          </w:tcPr>
          <w:p>
            <w:r/>
            <w:r>
              <w:rPr>
                <w:b w:val="0"/>
                <w:i w:val="0"/>
              </w:rPr>
              <w:t>Voluntary Workers' Personal Accident</w:t>
            </w:r>
          </w:p>
        </w:tc>
        <w:tc>
          <w:tcPr>
            <w:tcW w:type="dxa" w:w="2436"/>
          </w:tcPr>
          <w:p>
            <w:r/>
            <w:r>
              <w:rPr>
                <w:b w:val="0"/>
                <w:i w:val="0"/>
              </w:rPr>
              <w:t>All sections</w:t>
            </w:r>
          </w:p>
        </w:tc>
        <w:tc>
          <w:tcPr>
            <w:tcW w:type="dxa" w:w="2436"/>
          </w:tcPr>
          <w:p>
            <w:r/>
            <w:r>
              <w:rPr>
                <w:b w:val="0"/>
                <w:i w:val="0"/>
              </w:rPr>
              <w:t>Pays personal accident benefits for death or Disablement of unpaid voluntary workers</w:t>
            </w:r>
          </w:p>
        </w:tc>
      </w:tr>
      <w:tr>
        <w:tc>
          <w:tcPr>
            <w:tcW w:type="dxa" w:w="2436"/>
          </w:tcPr>
          <w:p>
            <w:r/>
            <w:r>
              <w:rPr>
                <w:b w:val="0"/>
                <w:i w:val="0"/>
              </w:rPr>
              <w:t>E12</w:t>
            </w:r>
          </w:p>
        </w:tc>
        <w:tc>
          <w:tcPr>
            <w:tcW w:type="dxa" w:w="2436"/>
          </w:tcPr>
          <w:p>
            <w:r/>
            <w:r>
              <w:rPr>
                <w:b w:val="0"/>
                <w:i w:val="0"/>
              </w:rPr>
              <w:t>Specified Occupations</w:t>
            </w:r>
          </w:p>
        </w:tc>
        <w:tc>
          <w:tcPr>
            <w:tcW w:type="dxa" w:w="2436"/>
          </w:tcPr>
          <w:p>
            <w:r/>
            <w:r>
              <w:rPr>
                <w:b w:val="0"/>
                <w:i w:val="0"/>
              </w:rPr>
              <w:t>Sections shown</w:t>
            </w:r>
          </w:p>
        </w:tc>
        <w:tc>
          <w:tcPr>
            <w:tcW w:type="dxa" w:w="2436"/>
          </w:tcPr>
          <w:p>
            <w:r/>
            <w:r>
              <w:rPr>
                <w:b w:val="0"/>
                <w:i w:val="0"/>
              </w:rPr>
              <w:t>Applies conditions for the occupation shown</w:t>
            </w:r>
          </w:p>
        </w:tc>
      </w:tr>
    </w:tbl>
    <w:p>
      <w:bookmarkStart w:id="182" w:name="c_bpk_end_e01"/>
      <w:r>
        <w:rPr>
          <w:rFonts w:ascii="Georgia" w:hAnsi="Georgia" w:eastAsia="Georgia"/>
          <w:b/>
          <w:i w:val="0"/>
          <w:color w:val="2E5C4E"/>
          <w:sz w:val="25"/>
        </w:rPr>
        <w:t>E01 Accidental Damage</w:t>
      </w:r>
      <w:bookmarkEnd w:id="182"/>
    </w:p>
    <w:p>
      <w:hyperlink w:anchor="c_bpk_pd_insured_events">
        <w:r>
          <w:rPr>
            <w:color w:val="2E5C4E"/>
            <w:u w:val="single"/>
          </w:rPr>
          <w:t xml:space="preserve">The Insured Events clause</w:t>
        </w:r>
      </w:hyperlink>
      <w:r>
        <w:rPr>
          <w:b w:val="0"/>
          <w:i w:val="0"/>
        </w:rPr>
        <w:t xml:space="preserve"> is extended to include accidental Damage not otherwise excluded, up to the accidental damage sub-limit and Excess shown in the Schedule.</w:t>
      </w:r>
    </w:p>
    <w:p>
      <w:r>
        <w:rPr>
          <w:b w:val="0"/>
          <w:i w:val="0"/>
        </w:rPr>
        <w:t>Schedule variables: Situations; accidental damage sub-limit; Excess.</w:t>
      </w:r>
    </w:p>
    <w:p>
      <w:bookmarkStart w:id="183" w:name="c_bpk_end_e02"/>
      <w:r>
        <w:rPr>
          <w:rFonts w:ascii="Georgia" w:hAnsi="Georgia" w:eastAsia="Georgia"/>
          <w:b/>
          <w:i w:val="0"/>
          <w:color w:val="2E5C4E"/>
          <w:sz w:val="25"/>
        </w:rPr>
        <w:t>E02 Flood</w:t>
      </w:r>
      <w:bookmarkEnd w:id="183"/>
    </w:p>
    <w:p>
      <w:r>
        <w:rPr>
          <w:b w:val="0"/>
          <w:i w:val="0"/>
        </w:rPr>
        <w:t xml:space="preserve">Flood is removed from the storm and flood event in </w:t>
      </w:r>
      <w:hyperlink w:anchor="c_bpk_pd_insured_events">
        <w:r>
          <w:rPr>
            <w:color w:val="2E5C4E"/>
            <w:u w:val="single"/>
          </w:rPr>
          <w:t xml:space="preserve">the Insured Events clause</w:t>
        </w:r>
      </w:hyperlink>
      <w:r>
        <w:rPr>
          <w:b w:val="0"/>
          <w:i w:val="0"/>
        </w:rPr>
        <w:t>, or limited to the flood sub-limit shown in the Schedule, as the Schedule states.</w:t>
      </w:r>
    </w:p>
    <w:p>
      <w:r>
        <w:rPr>
          <w:b w:val="0"/>
          <w:i w:val="0"/>
        </w:rPr>
        <w:t>In this Endorsement, flood means the covering of normally dry land by water escaping or released from the normal confines of a lake, river, creek or other natural watercourse, reservoir, canal or dam.</w:t>
      </w:r>
    </w:p>
    <w:p>
      <w:r>
        <w:rPr>
          <w:b w:val="0"/>
          <w:i w:val="0"/>
        </w:rPr>
        <w:t>Schedule variables: Situations; removed or limited; flood sub-limit.</w:t>
      </w:r>
    </w:p>
    <w:p>
      <w:bookmarkStart w:id="184" w:name="c_bpk_end_e03"/>
      <w:r>
        <w:rPr>
          <w:rFonts w:ascii="Georgia" w:hAnsi="Georgia" w:eastAsia="Georgia"/>
          <w:b/>
          <w:i w:val="0"/>
          <w:color w:val="2E5C4E"/>
          <w:sz w:val="25"/>
        </w:rPr>
        <w:t>E03 Seasonal Stock Increase</w:t>
      </w:r>
      <w:bookmarkEnd w:id="184"/>
    </w:p>
    <w:p>
      <w:r>
        <w:rPr>
          <w:b w:val="0"/>
          <w:i w:val="0"/>
        </w:rPr>
        <w:t>The Stock Sum insured at a Situation is increased by the percentage shown in the Schedule during the months shown in the Schedule.</w:t>
      </w:r>
    </w:p>
    <w:p>
      <w:r>
        <w:rPr>
          <w:b w:val="0"/>
          <w:i w:val="0"/>
        </w:rPr>
        <w:t>Schedule variables: Situations; percentage increase; months.</w:t>
      </w:r>
    </w:p>
    <w:p>
      <w:bookmarkStart w:id="185" w:name="c_bpk_end_e04"/>
      <w:r>
        <w:rPr>
          <w:rFonts w:ascii="Georgia" w:hAnsi="Georgia" w:eastAsia="Georgia"/>
          <w:b/>
          <w:i w:val="0"/>
          <w:color w:val="2E5C4E"/>
          <w:sz w:val="25"/>
        </w:rPr>
        <w:t>E04 Equipment Damage Consequential Loss</w:t>
      </w:r>
      <w:bookmarkEnd w:id="185"/>
    </w:p>
    <w:p>
      <w:hyperlink w:anchor="c_bpk_section_equipment">
        <w:r>
          <w:rPr>
            <w:color w:val="2E5C4E"/>
            <w:u w:val="single"/>
          </w:rPr>
          <w:t xml:space="preserve">The Equipment Damage section</w:t>
        </w:r>
      </w:hyperlink>
      <w:r>
        <w:rPr>
          <w:b w:val="0"/>
          <w:i w:val="0"/>
        </w:rPr>
        <w:t xml:space="preserve"> is extended to loss of gross profit and increased cost of working following Breakdown covered under </w:t>
      </w:r>
      <w:hyperlink w:anchor="c_bpk_equipment_cover">
        <w:r>
          <w:rPr>
            <w:color w:val="2E5C4E"/>
            <w:u w:val="single"/>
          </w:rPr>
          <w:t xml:space="preserve">the Equipment Breakdown and Damage clause</w:t>
        </w:r>
      </w:hyperlink>
      <w:r>
        <w:rPr>
          <w:b w:val="0"/>
          <w:i w:val="0"/>
        </w:rPr>
        <w:t xml:space="preserve">, for the indemnity period and up to the sub-limit shown in the Schedule. </w:t>
      </w:r>
      <w:hyperlink w:anchor="c_bpk_excl_consequential_loss">
        <w:r>
          <w:rPr>
            <w:color w:val="2E5C4E"/>
            <w:u w:val="single"/>
          </w:rPr>
          <w:t xml:space="preserve">The Consequential Loss exclusion</w:t>
        </w:r>
      </w:hyperlink>
      <w:r>
        <w:rPr>
          <w:b w:val="0"/>
          <w:i w:val="0"/>
        </w:rPr>
        <w:t xml:space="preserve"> does not apply to this cover.</w:t>
      </w:r>
    </w:p>
    <w:p>
      <w:r>
        <w:rPr>
          <w:b w:val="0"/>
          <w:i w:val="0"/>
        </w:rPr>
        <w:t>Schedule variables: indemnity period; sub-limit.</w:t>
      </w:r>
    </w:p>
    <w:p>
      <w:bookmarkStart w:id="186" w:name="c_bpk_end_e05"/>
      <w:r>
        <w:rPr>
          <w:rFonts w:ascii="Georgia" w:hAnsi="Georgia" w:eastAsia="Georgia"/>
          <w:b/>
          <w:i w:val="0"/>
          <w:color w:val="2E5C4E"/>
          <w:sz w:val="25"/>
        </w:rPr>
        <w:t>E05 Increased Tenants' Liability</w:t>
      </w:r>
      <w:bookmarkEnd w:id="186"/>
    </w:p>
    <w:p>
      <w:r>
        <w:rPr>
          <w:b w:val="0"/>
          <w:i w:val="0"/>
        </w:rPr>
        <w:t xml:space="preserve">The tenants' liability sub-limit in </w:t>
      </w:r>
      <w:hyperlink w:anchor="c_bpk_liability_additional_benefits">
        <w:r>
          <w:rPr>
            <w:color w:val="2E5C4E"/>
            <w:u w:val="single"/>
          </w:rPr>
          <w:t xml:space="preserve">the Liability Additional Benefits extension</w:t>
        </w:r>
      </w:hyperlink>
      <w:r>
        <w:rPr>
          <w:b w:val="0"/>
          <w:i w:val="0"/>
        </w:rPr>
        <w:t xml:space="preserve"> is increased to the amount shown in the Schedule.</w:t>
      </w:r>
    </w:p>
    <w:p>
      <w:r>
        <w:rPr>
          <w:b w:val="0"/>
          <w:i w:val="0"/>
        </w:rPr>
        <w:t>Schedule variables: tenants' liability sub-limit.</w:t>
      </w:r>
    </w:p>
    <w:p>
      <w:bookmarkStart w:id="187" w:name="c_bpk_end_e06"/>
      <w:r>
        <w:rPr>
          <w:rFonts w:ascii="Georgia" w:hAnsi="Georgia" w:eastAsia="Georgia"/>
          <w:b/>
          <w:i w:val="0"/>
          <w:color w:val="2E5C4E"/>
          <w:sz w:val="25"/>
        </w:rPr>
        <w:t>E06 Increased Property in Physical or Legal Control</w:t>
      </w:r>
      <w:bookmarkEnd w:id="187"/>
    </w:p>
    <w:p>
      <w:r>
        <w:rPr>
          <w:b w:val="0"/>
          <w:i w:val="0"/>
        </w:rPr>
        <w:t xml:space="preserve">The property in physical or legal control sub-limit in </w:t>
      </w:r>
      <w:hyperlink w:anchor="c_bpk_liability_additional_benefits">
        <w:r>
          <w:rPr>
            <w:color w:val="2E5C4E"/>
            <w:u w:val="single"/>
          </w:rPr>
          <w:t xml:space="preserve">the Liability Additional Benefits extension</w:t>
        </w:r>
      </w:hyperlink>
      <w:r>
        <w:rPr>
          <w:b w:val="0"/>
          <w:i w:val="0"/>
        </w:rPr>
        <w:t xml:space="preserve"> is increased to the amount shown in the Schedule.</w:t>
      </w:r>
    </w:p>
    <w:p>
      <w:r>
        <w:rPr>
          <w:b w:val="0"/>
          <w:i w:val="0"/>
        </w:rPr>
        <w:t>Schedule variables: property in control sub-limit; special excess (optional).</w:t>
      </w:r>
    </w:p>
    <w:p>
      <w:bookmarkStart w:id="188" w:name="c_bpk_end_e07"/>
      <w:r>
        <w:rPr>
          <w:rFonts w:ascii="Georgia" w:hAnsi="Georgia" w:eastAsia="Georgia"/>
          <w:b/>
          <w:i w:val="0"/>
          <w:color w:val="2E5C4E"/>
          <w:sz w:val="25"/>
        </w:rPr>
        <w:t>E07 Product Recall Costs</w:t>
      </w:r>
      <w:bookmarkEnd w:id="188"/>
    </w:p>
    <w:p>
      <w:r>
        <w:rPr>
          <w:b w:val="0"/>
          <w:i w:val="0"/>
        </w:rPr>
        <w:t xml:space="preserve">We pay the reasonable costs you incur, with our written agreement, to recall Your products from the market or from your customers, where you or a government authority decide during the Period of Insurance that a fault in Your products is likely to cause Personal injury or Property damage. Recall costs are the costs of notifying people of the recall, collecting and transporting the products, storing and destroying them, and the extra staff and advertising the recall needs. We pay up to the recall sub-limit shown in the Schedule, which is an aggregate for the Period of Insurance and is part of the limit of </w:t>
      </w:r>
      <w:hyperlink w:anchor="c_bpk_section_liability">
        <w:r>
          <w:rPr>
            <w:color w:val="2E5C4E"/>
            <w:u w:val="single"/>
          </w:rPr>
          <w:t xml:space="preserve">the Public and Products Liability section</w:t>
        </w:r>
      </w:hyperlink>
      <w:r>
        <w:rPr>
          <w:b w:val="0"/>
          <w:i w:val="0"/>
        </w:rPr>
        <w:t>. The Excess applies.</w:t>
      </w:r>
    </w:p>
    <w:p>
      <w:r>
        <w:rPr>
          <w:b w:val="0"/>
          <w:i w:val="0"/>
        </w:rPr>
        <w:t xml:space="preserve">We do not pay for repairing, replacing or refunding the price of Your products, for your lost profit or loss of reputation, or for a recall that a fault a member of the Control group knew about before the Period of Insurance caused. </w:t>
      </w:r>
      <w:hyperlink w:anchor="c_bpk_liability_excl_product_recall">
        <w:r>
          <w:rPr>
            <w:color w:val="2E5C4E"/>
            <w:u w:val="single"/>
          </w:rPr>
          <w:t xml:space="preserve">The Product Recall exclusion</w:t>
        </w:r>
      </w:hyperlink>
      <w:r>
        <w:rPr>
          <w:b w:val="0"/>
          <w:i w:val="0"/>
        </w:rPr>
        <w:t xml:space="preserve"> does not apply to the recall costs this Endorsement covers, and continues to apply to all other costs of recalling, repairing or replacing Your products.</w:t>
      </w:r>
    </w:p>
    <w:p>
      <w:r>
        <w:rPr>
          <w:b w:val="0"/>
          <w:i w:val="0"/>
        </w:rPr>
        <w:t>Schedule variables: recall sub-limit (aggregate).</w:t>
      </w:r>
    </w:p>
    <w:p>
      <w:bookmarkStart w:id="189" w:name="c_bpk_end_e08"/>
      <w:r>
        <w:rPr>
          <w:rFonts w:ascii="Georgia" w:hAnsi="Georgia" w:eastAsia="Georgia"/>
          <w:b/>
          <w:i w:val="0"/>
          <w:color w:val="2E5C4E"/>
          <w:sz w:val="25"/>
        </w:rPr>
        <w:t>E08 Minor Contract Works</w:t>
      </w:r>
      <w:bookmarkEnd w:id="189"/>
    </w:p>
    <w:p>
      <w:hyperlink w:anchor="c_bpk_pd_exclusions">
        <w:r>
          <w:rPr>
            <w:color w:val="2E5C4E"/>
            <w:u w:val="single"/>
          </w:rPr>
          <w:t xml:space="preserve">The Property Damage Exclusions exclusion</w:t>
        </w:r>
      </w:hyperlink>
      <w:r>
        <w:rPr>
          <w:b w:val="0"/>
          <w:i w:val="0"/>
        </w:rPr>
        <w:t xml:space="preserve"> does not exclude Damage to property under construction at a Situation where the contract value is no more than the amount shown in the Schedule for this Endorsement.</w:t>
      </w:r>
    </w:p>
    <w:p>
      <w:r>
        <w:rPr>
          <w:b w:val="0"/>
          <w:i w:val="0"/>
        </w:rPr>
        <w:t>Schedule variables: Situations; maximum contract value.</w:t>
      </w:r>
    </w:p>
    <w:p>
      <w:bookmarkStart w:id="190" w:name="c_bpk_end_e09"/>
      <w:r>
        <w:rPr>
          <w:rFonts w:ascii="Georgia" w:hAnsi="Georgia" w:eastAsia="Georgia"/>
          <w:b/>
          <w:i w:val="0"/>
          <w:color w:val="2E5C4E"/>
          <w:sz w:val="25"/>
        </w:rPr>
        <w:t>E09 Interests of Lessors and Financiers</w:t>
      </w:r>
      <w:bookmarkEnd w:id="190"/>
    </w:p>
    <w:p>
      <w:r>
        <w:rPr>
          <w:b w:val="0"/>
          <w:i w:val="0"/>
        </w:rPr>
        <w:t xml:space="preserve">The interest of each lessor or financier listed in the Schedule is noted as an Interested party under </w:t>
      </w:r>
      <w:hyperlink w:anchor="c_bpk_cond_subrogation_and_interested_pa">
        <w:r>
          <w:rPr>
            <w:color w:val="2E5C4E"/>
            <w:u w:val="single"/>
          </w:rPr>
          <w:t xml:space="preserve">the Subrogation and Interested Parties condition</w:t>
        </w:r>
      </w:hyperlink>
      <w:r>
        <w:rPr>
          <w:b w:val="0"/>
          <w:i w:val="0"/>
        </w:rPr>
        <w:t>.</w:t>
      </w:r>
    </w:p>
    <w:p>
      <w:r>
        <w:rPr>
          <w:b w:val="0"/>
          <w:i w:val="0"/>
        </w:rPr>
        <w:t>Schedule variables: names of lessors and financiers; property in which each has an interest.</w:t>
      </w:r>
    </w:p>
    <w:p>
      <w:bookmarkStart w:id="191" w:name="c_bpk_end_e10"/>
      <w:r>
        <w:rPr>
          <w:rFonts w:ascii="Georgia" w:hAnsi="Georgia" w:eastAsia="Georgia"/>
          <w:b/>
          <w:i w:val="0"/>
          <w:color w:val="2E5C4E"/>
          <w:sz w:val="25"/>
        </w:rPr>
        <w:t>E10 Hot Works</w:t>
      </w:r>
      <w:bookmarkEnd w:id="191"/>
    </w:p>
    <w:p>
      <w:hyperlink w:anchor="c_bpk_liability_excl_hot_works">
        <w:r>
          <w:rPr>
            <w:color w:val="2E5C4E"/>
            <w:u w:val="single"/>
          </w:rPr>
          <w:t xml:space="preserve">The Hot Works Away From Your Premises exclusion</w:t>
        </w:r>
      </w:hyperlink>
      <w:r>
        <w:rPr>
          <w:b w:val="0"/>
          <w:i w:val="0"/>
        </w:rPr>
        <w:t xml:space="preserve"> does not apply where, for each hot works job away from your Premises, you hold any permit required, remove or protect combustible material within the distance shown in the Schedule, keep a fire extinguisher at hand, and keep watch for the time shown in the Schedule after the work ends. </w:t>
      </w:r>
      <w:hyperlink w:anchor="c_bpk_cond_insurance_contracts_act">
        <w:r>
          <w:rPr>
            <w:color w:val="2E5C4E"/>
            <w:u w:val="single"/>
          </w:rPr>
          <w:t xml:space="preserve">The Insurance Contracts Act 1984 (Cth) condition</w:t>
        </w:r>
      </w:hyperlink>
      <w:r>
        <w:rPr>
          <w:b w:val="0"/>
          <w:i w:val="0"/>
        </w:rPr>
        <w:t xml:space="preserve"> applies to these requirements.</w:t>
      </w:r>
    </w:p>
    <w:p>
      <w:r>
        <w:rPr>
          <w:b w:val="0"/>
          <w:i w:val="0"/>
        </w:rPr>
        <w:t>Schedule variables: clearance distance; fire watch time; special excess (optional).</w:t>
      </w:r>
    </w:p>
    <w:p>
      <w:bookmarkStart w:id="192" w:name="c_bpk_end_e11"/>
      <w:r>
        <w:rPr>
          <w:rFonts w:ascii="Georgia" w:hAnsi="Georgia" w:eastAsia="Georgia"/>
          <w:b/>
          <w:i w:val="0"/>
          <w:color w:val="2E5C4E"/>
          <w:sz w:val="25"/>
        </w:rPr>
        <w:t>E11 Voluntary Workers' Personal Accident</w:t>
      </w:r>
      <w:bookmarkEnd w:id="192"/>
    </w:p>
    <w:p>
      <w:r>
        <w:rPr>
          <w:b w:val="0"/>
          <w:i w:val="0"/>
        </w:rPr>
        <w:t xml:space="preserve">A </w:t>
      </w:r>
      <w:r>
        <w:rPr>
          <w:b/>
          <w:i w:val="0"/>
        </w:rPr>
        <w:t>voluntary worker</w:t>
      </w:r>
      <w:r>
        <w:rPr>
          <w:b w:val="0"/>
          <w:i w:val="0"/>
        </w:rPr>
        <w:t xml:space="preserve"> is a person who does voluntary work for the Business and who is not paid for it, other than reimbursement of expenses. </w:t>
      </w:r>
      <w:r>
        <w:rPr>
          <w:b/>
          <w:i w:val="0"/>
        </w:rPr>
        <w:t>Voluntary work</w:t>
      </w:r>
      <w:r>
        <w:rPr>
          <w:b w:val="0"/>
          <w:i w:val="0"/>
        </w:rPr>
        <w:t xml:space="preserve"> is work the Business asks the person to do, or agrees to the person doing, in the ordinary activities of the Business, including travelling directly to or from it. </w:t>
      </w:r>
      <w:r>
        <w:rPr>
          <w:b/>
          <w:i w:val="0"/>
        </w:rPr>
        <w:t>Disablement</w:t>
      </w:r>
      <w:r>
        <w:rPr>
          <w:b w:val="0"/>
          <w:i w:val="0"/>
        </w:rPr>
        <w:t xml:space="preserve"> means a permanent injury of a kind listed as a disablement covered in the Schedule, confirmed by a registered medical practitioner.</w:t>
      </w:r>
    </w:p>
    <w:p>
      <w:r>
        <w:rPr>
          <w:b w:val="0"/>
          <w:i w:val="0"/>
        </w:rPr>
        <w:t>We pay the benefits shown in the Schedule if a voluntary worker suffers accidental bodily injury while doing voluntary work for the Business during the Period of Insurance, resulting in death or a Disablement.</w:t>
      </w:r>
    </w:p>
    <w:p>
      <w:r>
        <w:rPr>
          <w:b w:val="0"/>
          <w:i w:val="0"/>
        </w:rPr>
        <w:t xml:space="preserve">A voluntary worker may also be within the definition of Employee, which includes volunteers. This Endorsement applies to that person as a voluntary worker, and its benefits are not liability cover. It does not change </w:t>
      </w:r>
      <w:hyperlink w:anchor="c_bpk_liability_excl_injury_to_employees">
        <w:r>
          <w:rPr>
            <w:color w:val="2E5C4E"/>
            <w:u w:val="single"/>
          </w:rPr>
          <w:t xml:space="preserve">the Injury to Employees exclusion</w:t>
        </w:r>
      </w:hyperlink>
      <w:r>
        <w:rPr>
          <w:b w:val="0"/>
          <w:i w:val="0"/>
        </w:rPr>
        <w:t>, which continues to apply to a claim made against you by that person. We do not pay a benefit under this Endorsement for an injury for which workers' compensation is payable.</w:t>
      </w:r>
    </w:p>
    <w:p>
      <w:r>
        <w:rPr>
          <w:b w:val="0"/>
          <w:i w:val="0"/>
        </w:rPr>
        <w:t>Schedule variables: benefits; disablements covered; number of voluntary workers.</w:t>
      </w:r>
    </w:p>
    <w:p>
      <w:bookmarkStart w:id="193" w:name="c_bpk_end_e12"/>
      <w:r>
        <w:rPr>
          <w:rFonts w:ascii="Georgia" w:hAnsi="Georgia" w:eastAsia="Georgia"/>
          <w:b/>
          <w:i w:val="0"/>
          <w:color w:val="2E5C4E"/>
          <w:sz w:val="25"/>
        </w:rPr>
        <w:t>E12 Specified Occupations</w:t>
      </w:r>
      <w:bookmarkEnd w:id="193"/>
    </w:p>
    <w:p>
      <w:r>
        <w:rPr>
          <w:b w:val="0"/>
          <w:i w:val="0"/>
        </w:rPr>
        <w:t xml:space="preserve">For the occupation shown in the Schedule, the conditions listed in the Schedule apply to the sections listed beside them. </w:t>
      </w:r>
      <w:hyperlink w:anchor="c_bpk_cond_insurance_contracts_act">
        <w:r>
          <w:rPr>
            <w:color w:val="2E5C4E"/>
            <w:u w:val="single"/>
          </w:rPr>
          <w:t xml:space="preserve">The Insurance Contracts Act 1984 (Cth) condition</w:t>
        </w:r>
      </w:hyperlink>
      <w:r>
        <w:rPr>
          <w:b w:val="0"/>
          <w:i w:val="0"/>
        </w:rPr>
        <w:t xml:space="preserve"> applies to each condition.</w:t>
      </w:r>
    </w:p>
    <w:p>
      <w:r>
        <w:rPr>
          <w:b w:val="0"/>
          <w:i w:val="0"/>
        </w:rPr>
        <w:t>Schedule variables: occupation; conditions; sections to which each condition applies.</w:t>
      </w:r>
    </w:p>
    <w:p>
      <w:bookmarkStart w:id="194" w:name="c_bpk_appendix_default_schedule_values"/>
      <w:r>
        <w:rPr>
          <w:rFonts w:ascii="Georgia" w:hAnsi="Georgia" w:eastAsia="Georgia"/>
          <w:b/>
          <w:i w:val="0"/>
          <w:color w:val="1C1915"/>
          <w:sz w:val="32"/>
        </w:rPr>
        <w:t>Default Schedule Values</w:t>
      </w:r>
      <w:bookmarkEnd w:id="194"/>
    </w:p>
    <w:p>
      <w:r>
        <w:rPr>
          <w:b w:val="0"/>
          <w:i w:val="0"/>
        </w:rPr>
        <w:t>These are the defaults that apply where the Schedule does not show another amount. Each figure is a Schedule value: an issuer may vary it in the Schedule without amending this wording.</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Clause</w:t>
            </w:r>
          </w:p>
        </w:tc>
        <w:tc>
          <w:tcPr>
            <w:tcW w:type="dxa" w:w="3249"/>
          </w:tcPr>
          <w:p>
            <w:r/>
            <w:r>
              <w:rPr>
                <w:b w:val="0"/>
                <w:i w:val="0"/>
              </w:rPr>
              <w:t>Item</w:t>
            </w:r>
          </w:p>
        </w:tc>
        <w:tc>
          <w:tcPr>
            <w:tcW w:type="dxa" w:w="3249"/>
          </w:tcPr>
          <w:p>
            <w:r/>
            <w:r>
              <w:rPr>
                <w:b w:val="0"/>
                <w:i w:val="0"/>
              </w:rPr>
              <w:t>Default</w:t>
            </w:r>
          </w:p>
        </w:tc>
      </w:tr>
      <w:tr>
        <w:tc>
          <w:tcPr>
            <w:tcW w:type="dxa" w:w="3249"/>
          </w:tcPr>
          <w:p>
            <w:r/>
            <w:hyperlink w:anchor="c_bpk_pd_underinsurance">
              <w:r>
                <w:rPr>
                  <w:color w:val="2E5C4E"/>
                  <w:u w:val="single"/>
                </w:rPr>
                <w:t xml:space="preserve">The Underinsurance (Property) provision</w:t>
              </w:r>
            </w:hyperlink>
            <w:r>
              <w:rPr>
                <w:b w:val="0"/>
                <w:i w:val="0"/>
              </w:rPr>
              <w:t xml:space="preserve">, </w:t>
            </w:r>
            <w:hyperlink w:anchor="c_bpk_bi_underinsurance">
              <w:r>
                <w:rPr>
                  <w:color w:val="2E5C4E"/>
                  <w:u w:val="single"/>
                </w:rPr>
                <w:t xml:space="preserve">the Underinsurance (Gross Profit) provision</w:t>
              </w:r>
            </w:hyperlink>
          </w:p>
        </w:tc>
        <w:tc>
          <w:tcPr>
            <w:tcW w:type="dxa" w:w="3249"/>
          </w:tcPr>
          <w:p>
            <w:r/>
            <w:r>
              <w:rPr>
                <w:b w:val="0"/>
                <w:i w:val="0"/>
              </w:rPr>
              <w:t>Underinsurance percentage</w:t>
            </w:r>
          </w:p>
        </w:tc>
        <w:tc>
          <w:tcPr>
            <w:tcW w:type="dxa" w:w="3249"/>
          </w:tcPr>
          <w:p>
            <w:r/>
            <w:r>
              <w:rPr>
                <w:b w:val="0"/>
                <w:i w:val="0"/>
              </w:rPr>
              <w:t>80%</w:t>
            </w:r>
          </w:p>
        </w:tc>
      </w:tr>
      <w:tr>
        <w:tc>
          <w:tcPr>
            <w:tcW w:type="dxa" w:w="3249"/>
          </w:tcPr>
          <w:p>
            <w:r/>
            <w:hyperlink w:anchor="c_bpk_pd_underinsurance">
              <w:r>
                <w:rPr>
                  <w:color w:val="2E5C4E"/>
                  <w:u w:val="single"/>
                </w:rPr>
                <w:t xml:space="preserve">The Underinsurance (Property) provision</w:t>
              </w:r>
            </w:hyperlink>
          </w:p>
        </w:tc>
        <w:tc>
          <w:tcPr>
            <w:tcW w:type="dxa" w:w="3249"/>
          </w:tcPr>
          <w:p>
            <w:r/>
            <w:r>
              <w:rPr>
                <w:b w:val="0"/>
                <w:i w:val="0"/>
              </w:rPr>
              <w:t>Underinsurance threshold</w:t>
            </w:r>
          </w:p>
        </w:tc>
        <w:tc>
          <w:tcPr>
            <w:tcW w:type="dxa" w:w="3249"/>
          </w:tcPr>
          <w:p>
            <w:r/>
            <w:r>
              <w:rPr>
                <w:b w:val="0"/>
                <w:i w:val="0"/>
              </w:rPr>
              <w:t>Losses under $20,000</w:t>
            </w:r>
          </w:p>
        </w:tc>
      </w:tr>
      <w:tr>
        <w:tc>
          <w:tcPr>
            <w:tcW w:type="dxa" w:w="3249"/>
          </w:tcPr>
          <w:p>
            <w:r/>
            <w:hyperlink w:anchor="c_bpk_pd_additional_benefits">
              <w:r>
                <w:rPr>
                  <w:color w:val="2E5C4E"/>
                  <w:u w:val="single"/>
                </w:rPr>
                <w:t xml:space="preserve">The Property Damage Additional Benefits extension</w:t>
              </w:r>
            </w:hyperlink>
          </w:p>
        </w:tc>
        <w:tc>
          <w:tcPr>
            <w:tcW w:type="dxa" w:w="3249"/>
          </w:tcPr>
          <w:p>
            <w:r/>
            <w:r>
              <w:rPr>
                <w:b w:val="0"/>
                <w:i w:val="0"/>
              </w:rPr>
              <w:t>Temporary removal</w:t>
            </w:r>
          </w:p>
        </w:tc>
        <w:tc>
          <w:tcPr>
            <w:tcW w:type="dxa" w:w="3249"/>
          </w:tcPr>
          <w:p>
            <w:r/>
            <w:r>
              <w:rPr>
                <w:b w:val="0"/>
                <w:i w:val="0"/>
              </w:rPr>
              <w:t>$50,000</w:t>
            </w:r>
          </w:p>
        </w:tc>
      </w:tr>
      <w:tr>
        <w:tc>
          <w:tcPr>
            <w:tcW w:type="dxa" w:w="3249"/>
          </w:tcPr>
          <w:p>
            <w:r/>
            <w:hyperlink w:anchor="c_bpk_pd_additional_benefits">
              <w:r>
                <w:rPr>
                  <w:color w:val="2E5C4E"/>
                  <w:u w:val="single"/>
                </w:rPr>
                <w:t xml:space="preserve">The Property Damage Additional Benefits extension</w:t>
              </w:r>
            </w:hyperlink>
          </w:p>
        </w:tc>
        <w:tc>
          <w:tcPr>
            <w:tcW w:type="dxa" w:w="3249"/>
          </w:tcPr>
          <w:p>
            <w:r/>
            <w:r>
              <w:rPr>
                <w:b w:val="0"/>
                <w:i w:val="0"/>
              </w:rPr>
              <w:t>Debris removal</w:t>
            </w:r>
          </w:p>
        </w:tc>
        <w:tc>
          <w:tcPr>
            <w:tcW w:type="dxa" w:w="3249"/>
          </w:tcPr>
          <w:p>
            <w:r/>
            <w:r>
              <w:rPr>
                <w:b w:val="0"/>
                <w:i w:val="0"/>
              </w:rPr>
              <w:t>10% of the Sum insured or $250,000, whichever is less; in addition</w:t>
            </w:r>
          </w:p>
        </w:tc>
      </w:tr>
      <w:tr>
        <w:tc>
          <w:tcPr>
            <w:tcW w:type="dxa" w:w="3249"/>
          </w:tcPr>
          <w:p>
            <w:r/>
            <w:hyperlink w:anchor="c_bpk_pd_additional_benefits">
              <w:r>
                <w:rPr>
                  <w:color w:val="2E5C4E"/>
                  <w:u w:val="single"/>
                </w:rPr>
                <w:t xml:space="preserve">The Property Damage Additional Benefits extension</w:t>
              </w:r>
            </w:hyperlink>
          </w:p>
        </w:tc>
        <w:tc>
          <w:tcPr>
            <w:tcW w:type="dxa" w:w="3249"/>
          </w:tcPr>
          <w:p>
            <w:r/>
            <w:r>
              <w:rPr>
                <w:b w:val="0"/>
                <w:i w:val="0"/>
              </w:rPr>
              <w:t>Fire brigade charges</w:t>
            </w:r>
          </w:p>
        </w:tc>
        <w:tc>
          <w:tcPr>
            <w:tcW w:type="dxa" w:w="3249"/>
          </w:tcPr>
          <w:p>
            <w:r/>
            <w:r>
              <w:rPr>
                <w:b w:val="0"/>
                <w:i w:val="0"/>
              </w:rPr>
              <w:t>$50,000</w:t>
            </w:r>
          </w:p>
        </w:tc>
      </w:tr>
      <w:tr>
        <w:tc>
          <w:tcPr>
            <w:tcW w:type="dxa" w:w="3249"/>
          </w:tcPr>
          <w:p>
            <w:r/>
            <w:hyperlink w:anchor="c_bpk_pd_additional_benefits">
              <w:r>
                <w:rPr>
                  <w:color w:val="2E5C4E"/>
                  <w:u w:val="single"/>
                </w:rPr>
                <w:t xml:space="preserve">The Property Damage Additional Benefits extension</w:t>
              </w:r>
            </w:hyperlink>
          </w:p>
        </w:tc>
        <w:tc>
          <w:tcPr>
            <w:tcW w:type="dxa" w:w="3249"/>
          </w:tcPr>
          <w:p>
            <w:r/>
            <w:r>
              <w:rPr>
                <w:b w:val="0"/>
                <w:i w:val="0"/>
              </w:rPr>
              <w:t>Expediting costs</w:t>
            </w:r>
          </w:p>
        </w:tc>
        <w:tc>
          <w:tcPr>
            <w:tcW w:type="dxa" w:w="3249"/>
          </w:tcPr>
          <w:p>
            <w:r/>
            <w:r>
              <w:rPr>
                <w:b w:val="0"/>
                <w:i w:val="0"/>
              </w:rPr>
              <w:t>$25,000</w:t>
            </w:r>
          </w:p>
        </w:tc>
      </w:tr>
      <w:tr>
        <w:tc>
          <w:tcPr>
            <w:tcW w:type="dxa" w:w="3249"/>
          </w:tcPr>
          <w:p>
            <w:r/>
            <w:hyperlink w:anchor="c_bpk_pd_additional_benefits">
              <w:r>
                <w:rPr>
                  <w:color w:val="2E5C4E"/>
                  <w:u w:val="single"/>
                </w:rPr>
                <w:t xml:space="preserve">The Property Damage Additional Benefits extension</w:t>
              </w:r>
            </w:hyperlink>
          </w:p>
        </w:tc>
        <w:tc>
          <w:tcPr>
            <w:tcW w:type="dxa" w:w="3249"/>
          </w:tcPr>
          <w:p>
            <w:r/>
            <w:r>
              <w:rPr>
                <w:b w:val="0"/>
                <w:i w:val="0"/>
              </w:rPr>
              <w:t>Employees' personal property</w:t>
            </w:r>
          </w:p>
        </w:tc>
        <w:tc>
          <w:tcPr>
            <w:tcW w:type="dxa" w:w="3249"/>
          </w:tcPr>
          <w:p>
            <w:r/>
            <w:r>
              <w:rPr>
                <w:b w:val="0"/>
                <w:i w:val="0"/>
              </w:rPr>
              <w:t>$5,000 each; $25,000 in total</w:t>
            </w:r>
          </w:p>
        </w:tc>
      </w:tr>
      <w:tr>
        <w:tc>
          <w:tcPr>
            <w:tcW w:type="dxa" w:w="3249"/>
          </w:tcPr>
          <w:p>
            <w:r/>
            <w:hyperlink w:anchor="c_bpk_pd_additional_benefits">
              <w:r>
                <w:rPr>
                  <w:color w:val="2E5C4E"/>
                  <w:u w:val="single"/>
                </w:rPr>
                <w:t xml:space="preserve">The Property Damage Additional Benefits extension</w:t>
              </w:r>
            </w:hyperlink>
          </w:p>
        </w:tc>
        <w:tc>
          <w:tcPr>
            <w:tcW w:type="dxa" w:w="3249"/>
          </w:tcPr>
          <w:p>
            <w:r/>
            <w:r>
              <w:rPr>
                <w:b w:val="0"/>
                <w:i w:val="0"/>
              </w:rPr>
              <w:t>Automatic additions and capital additions</w:t>
            </w:r>
          </w:p>
        </w:tc>
        <w:tc>
          <w:tcPr>
            <w:tcW w:type="dxa" w:w="3249"/>
          </w:tcPr>
          <w:p>
            <w:r/>
            <w:r>
              <w:rPr>
                <w:b w:val="0"/>
                <w:i w:val="0"/>
              </w:rPr>
              <w:t>10% of the Sum insured for 90 days</w:t>
            </w:r>
          </w:p>
        </w:tc>
      </w:tr>
      <w:tr>
        <w:tc>
          <w:tcPr>
            <w:tcW w:type="dxa" w:w="3249"/>
          </w:tcPr>
          <w:p>
            <w:r/>
            <w:hyperlink w:anchor="c_bpk_pd_additional_benefits">
              <w:r>
                <w:rPr>
                  <w:color w:val="2E5C4E"/>
                  <w:u w:val="single"/>
                </w:rPr>
                <w:t xml:space="preserve">The Property Damage Additional Benefits extension</w:t>
              </w:r>
            </w:hyperlink>
          </w:p>
        </w:tc>
        <w:tc>
          <w:tcPr>
            <w:tcW w:type="dxa" w:w="3249"/>
          </w:tcPr>
          <w:p>
            <w:r/>
            <w:r>
              <w:rPr>
                <w:b w:val="0"/>
                <w:i w:val="0"/>
              </w:rPr>
              <w:t>Temporary protection, landscaping, loss minimisation</w:t>
            </w:r>
          </w:p>
        </w:tc>
        <w:tc>
          <w:tcPr>
            <w:tcW w:type="dxa" w:w="3249"/>
          </w:tcPr>
          <w:p>
            <w:r/>
            <w:r>
              <w:rPr>
                <w:b w:val="0"/>
                <w:i w:val="0"/>
              </w:rPr>
              <w:t>$25,000 each</w:t>
            </w:r>
          </w:p>
        </w:tc>
      </w:tr>
      <w:tr>
        <w:tc>
          <w:tcPr>
            <w:tcW w:type="dxa" w:w="3249"/>
          </w:tcPr>
          <w:p>
            <w:r/>
            <w:hyperlink w:anchor="c_bpk_pd_additional_benefits">
              <w:r>
                <w:rPr>
                  <w:color w:val="2E5C4E"/>
                  <w:u w:val="single"/>
                </w:rPr>
                <w:t xml:space="preserve">The Property Damage Additional Benefits extension</w:t>
              </w:r>
            </w:hyperlink>
          </w:p>
        </w:tc>
        <w:tc>
          <w:tcPr>
            <w:tcW w:type="dxa" w:w="3249"/>
          </w:tcPr>
          <w:p>
            <w:r/>
            <w:r>
              <w:rPr>
                <w:b w:val="0"/>
                <w:i w:val="0"/>
              </w:rPr>
              <w:t>Rewriting of records</w:t>
            </w:r>
          </w:p>
        </w:tc>
        <w:tc>
          <w:tcPr>
            <w:tcW w:type="dxa" w:w="3249"/>
          </w:tcPr>
          <w:p>
            <w:r/>
            <w:r>
              <w:rPr>
                <w:b w:val="0"/>
                <w:i w:val="0"/>
              </w:rPr>
              <w:t>$50,000</w:t>
            </w:r>
          </w:p>
        </w:tc>
      </w:tr>
      <w:tr>
        <w:tc>
          <w:tcPr>
            <w:tcW w:type="dxa" w:w="3249"/>
          </w:tcPr>
          <w:p>
            <w:r/>
            <w:hyperlink w:anchor="c_bpk_pd_additional_benefits">
              <w:r>
                <w:rPr>
                  <w:color w:val="2E5C4E"/>
                  <w:u w:val="single"/>
                </w:rPr>
                <w:t xml:space="preserve">The Property Damage Additional Benefits extension</w:t>
              </w:r>
            </w:hyperlink>
          </w:p>
        </w:tc>
        <w:tc>
          <w:tcPr>
            <w:tcW w:type="dxa" w:w="3249"/>
          </w:tcPr>
          <w:p>
            <w:r/>
            <w:r>
              <w:rPr>
                <w:b w:val="0"/>
                <w:i w:val="0"/>
              </w:rPr>
              <w:t>Lock replacement</w:t>
            </w:r>
          </w:p>
        </w:tc>
        <w:tc>
          <w:tcPr>
            <w:tcW w:type="dxa" w:w="3249"/>
          </w:tcPr>
          <w:p>
            <w:r/>
            <w:r>
              <w:rPr>
                <w:b w:val="0"/>
                <w:i w:val="0"/>
              </w:rPr>
              <w:t>$10,000</w:t>
            </w:r>
          </w:p>
        </w:tc>
      </w:tr>
      <w:tr>
        <w:tc>
          <w:tcPr>
            <w:tcW w:type="dxa" w:w="3249"/>
          </w:tcPr>
          <w:p>
            <w:r/>
            <w:hyperlink w:anchor="c_bpk_pd_additional_benefits">
              <w:r>
                <w:rPr>
                  <w:color w:val="2E5C4E"/>
                  <w:u w:val="single"/>
                </w:rPr>
                <w:t xml:space="preserve">The Property Damage Additional Benefits extension</w:t>
              </w:r>
            </w:hyperlink>
          </w:p>
        </w:tc>
        <w:tc>
          <w:tcPr>
            <w:tcW w:type="dxa" w:w="3249"/>
          </w:tcPr>
          <w:p>
            <w:r/>
            <w:r>
              <w:rPr>
                <w:b w:val="0"/>
                <w:i w:val="0"/>
              </w:rPr>
              <w:t>Prevention of access</w:t>
            </w:r>
          </w:p>
        </w:tc>
        <w:tc>
          <w:tcPr>
            <w:tcW w:type="dxa" w:w="3249"/>
          </w:tcPr>
          <w:p>
            <w:r/>
            <w:r>
              <w:rPr>
                <w:b w:val="0"/>
                <w:i w:val="0"/>
              </w:rPr>
              <w:t>Damage within 10 km; $100,000 for 90 days</w:t>
            </w:r>
          </w:p>
        </w:tc>
      </w:tr>
      <w:tr>
        <w:tc>
          <w:tcPr>
            <w:tcW w:type="dxa" w:w="3249"/>
          </w:tcPr>
          <w:p>
            <w:r/>
            <w:hyperlink w:anchor="c_bpk_pd_exclusions">
              <w:r>
                <w:rPr>
                  <w:color w:val="2E5C4E"/>
                  <w:u w:val="single"/>
                </w:rPr>
                <w:t xml:space="preserve">The Property Damage Exclusions exclusion</w:t>
              </w:r>
            </w:hyperlink>
          </w:p>
        </w:tc>
        <w:tc>
          <w:tcPr>
            <w:tcW w:type="dxa" w:w="3249"/>
          </w:tcPr>
          <w:p>
            <w:r/>
            <w:r>
              <w:rPr>
                <w:b w:val="0"/>
                <w:i w:val="0"/>
              </w:rPr>
              <w:t>Contract value limit for property under construction</w:t>
            </w:r>
          </w:p>
        </w:tc>
        <w:tc>
          <w:tcPr>
            <w:tcW w:type="dxa" w:w="3249"/>
          </w:tcPr>
          <w:p>
            <w:r/>
            <w:r>
              <w:rPr>
                <w:b w:val="0"/>
                <w:i w:val="0"/>
              </w:rPr>
              <w:t>$250,000</w:t>
            </w:r>
          </w:p>
        </w:tc>
      </w:tr>
      <w:tr>
        <w:tc>
          <w:tcPr>
            <w:tcW w:type="dxa" w:w="3249"/>
          </w:tcPr>
          <w:p>
            <w:r/>
            <w:hyperlink w:anchor="c_bpk_bi_cover">
              <w:r>
                <w:rPr>
                  <w:color w:val="2E5C4E"/>
                  <w:u w:val="single"/>
                </w:rPr>
                <w:t xml:space="preserve">The Interruption of the Business clause</w:t>
              </w:r>
            </w:hyperlink>
          </w:p>
        </w:tc>
        <w:tc>
          <w:tcPr>
            <w:tcW w:type="dxa" w:w="3249"/>
          </w:tcPr>
          <w:p>
            <w:r/>
            <w:r>
              <w:rPr>
                <w:b w:val="0"/>
                <w:i w:val="0"/>
              </w:rPr>
              <w:t>Indemnity period options</w:t>
            </w:r>
          </w:p>
        </w:tc>
        <w:tc>
          <w:tcPr>
            <w:tcW w:type="dxa" w:w="3249"/>
          </w:tcPr>
          <w:p>
            <w:r/>
            <w:r>
              <w:rPr>
                <w:b w:val="0"/>
                <w:i w:val="0"/>
              </w:rPr>
              <w:t>6, 12, 18 or 24 months</w:t>
            </w:r>
          </w:p>
        </w:tc>
      </w:tr>
      <w:tr>
        <w:tc>
          <w:tcPr>
            <w:tcW w:type="dxa" w:w="3249"/>
          </w:tcPr>
          <w:p>
            <w:r/>
            <w:hyperlink w:anchor="c_bpk_bi_waiting_period">
              <w:r>
                <w:rPr>
                  <w:color w:val="2E5C4E"/>
                  <w:u w:val="single"/>
                </w:rPr>
                <w:t xml:space="preserve">The Business Interruption Waiting Period provision</w:t>
              </w:r>
            </w:hyperlink>
          </w:p>
        </w:tc>
        <w:tc>
          <w:tcPr>
            <w:tcW w:type="dxa" w:w="3249"/>
          </w:tcPr>
          <w:p>
            <w:r/>
            <w:r>
              <w:rPr>
                <w:b w:val="0"/>
                <w:i w:val="0"/>
              </w:rPr>
              <w:t>Waiting period</w:t>
            </w:r>
          </w:p>
        </w:tc>
        <w:tc>
          <w:tcPr>
            <w:tcW w:type="dxa" w:w="3249"/>
          </w:tcPr>
          <w:p>
            <w:r/>
            <w:r>
              <w:rPr>
                <w:b w:val="0"/>
                <w:i w:val="0"/>
              </w:rPr>
              <w:t>None</w:t>
            </w:r>
          </w:p>
        </w:tc>
      </w:tr>
      <w:tr>
        <w:tc>
          <w:tcPr>
            <w:tcW w:type="dxa" w:w="3249"/>
          </w:tcPr>
          <w:p>
            <w:r/>
            <w:hyperlink w:anchor="c_bpk_bi_additional_benefits">
              <w:r>
                <w:rPr>
                  <w:color w:val="2E5C4E"/>
                  <w:u w:val="single"/>
                </w:rPr>
                <w:t xml:space="preserve">The Business Interruption Additional Benefits extension</w:t>
              </w:r>
            </w:hyperlink>
          </w:p>
        </w:tc>
        <w:tc>
          <w:tcPr>
            <w:tcW w:type="dxa" w:w="3249"/>
          </w:tcPr>
          <w:p>
            <w:r/>
            <w:r>
              <w:rPr>
                <w:b w:val="0"/>
                <w:i w:val="0"/>
              </w:rPr>
              <w:t>Prevention of access; customers' and suppliers' premises; utilities failure</w:t>
            </w:r>
          </w:p>
        </w:tc>
        <w:tc>
          <w:tcPr>
            <w:tcW w:type="dxa" w:w="3249"/>
          </w:tcPr>
          <w:p>
            <w:r/>
            <w:r>
              <w:rPr>
                <w:b w:val="0"/>
                <w:i w:val="0"/>
              </w:rPr>
              <w:t>$250,000 each</w:t>
            </w:r>
          </w:p>
        </w:tc>
      </w:tr>
      <w:tr>
        <w:tc>
          <w:tcPr>
            <w:tcW w:type="dxa" w:w="3249"/>
          </w:tcPr>
          <w:p>
            <w:r/>
            <w:hyperlink w:anchor="c_bpk_bi_additional_benefits">
              <w:r>
                <w:rPr>
                  <w:color w:val="2E5C4E"/>
                  <w:u w:val="single"/>
                </w:rPr>
                <w:t xml:space="preserve">The Business Interruption Additional Benefits extension</w:t>
              </w:r>
            </w:hyperlink>
          </w:p>
        </w:tc>
        <w:tc>
          <w:tcPr>
            <w:tcW w:type="dxa" w:w="3249"/>
          </w:tcPr>
          <w:p>
            <w:r/>
            <w:r>
              <w:rPr>
                <w:b w:val="0"/>
                <w:i w:val="0"/>
              </w:rPr>
              <w:t>Claims preparation costs</w:t>
            </w:r>
          </w:p>
        </w:tc>
        <w:tc>
          <w:tcPr>
            <w:tcW w:type="dxa" w:w="3249"/>
          </w:tcPr>
          <w:p>
            <w:r/>
            <w:r>
              <w:rPr>
                <w:b w:val="0"/>
                <w:i w:val="0"/>
              </w:rPr>
              <w:t>$25,000</w:t>
            </w:r>
          </w:p>
        </w:tc>
      </w:tr>
      <w:tr>
        <w:tc>
          <w:tcPr>
            <w:tcW w:type="dxa" w:w="3249"/>
          </w:tcPr>
          <w:p>
            <w:r/>
            <w:hyperlink w:anchor="c_bpk_bi_additional_benefits">
              <w:r>
                <w:rPr>
                  <w:color w:val="2E5C4E"/>
                  <w:u w:val="single"/>
                </w:rPr>
                <w:t xml:space="preserve">The Business Interruption Additional Benefits extension</w:t>
              </w:r>
            </w:hyperlink>
          </w:p>
        </w:tc>
        <w:tc>
          <w:tcPr>
            <w:tcW w:type="dxa" w:w="3249"/>
          </w:tcPr>
          <w:p>
            <w:r/>
            <w:r>
              <w:rPr>
                <w:b w:val="0"/>
                <w:i w:val="0"/>
              </w:rPr>
              <w:t>Loss of attraction; government or council closure</w:t>
            </w:r>
          </w:p>
        </w:tc>
        <w:tc>
          <w:tcPr>
            <w:tcW w:type="dxa" w:w="3249"/>
          </w:tcPr>
          <w:p>
            <w:r/>
            <w:r>
              <w:rPr>
                <w:b w:val="0"/>
                <w:i w:val="0"/>
              </w:rPr>
              <w:t>$100,000 each, 90 days</w:t>
            </w:r>
          </w:p>
        </w:tc>
      </w:tr>
      <w:tr>
        <w:tc>
          <w:tcPr>
            <w:tcW w:type="dxa" w:w="3249"/>
          </w:tcPr>
          <w:p>
            <w:r/>
            <w:hyperlink w:anchor="c_bpk_crime_limits_and_aggregation">
              <w:r>
                <w:rPr>
                  <w:color w:val="2E5C4E"/>
                  <w:u w:val="single"/>
                </w:rPr>
                <w:t xml:space="preserve">The Crime Limits and Aggregation provision</w:t>
              </w:r>
            </w:hyperlink>
          </w:p>
        </w:tc>
        <w:tc>
          <w:tcPr>
            <w:tcW w:type="dxa" w:w="3249"/>
          </w:tcPr>
          <w:p>
            <w:r/>
            <w:r>
              <w:rPr>
                <w:b w:val="0"/>
                <w:i w:val="0"/>
              </w:rPr>
              <w:t>Section limit options</w:t>
            </w:r>
          </w:p>
        </w:tc>
        <w:tc>
          <w:tcPr>
            <w:tcW w:type="dxa" w:w="3249"/>
          </w:tcPr>
          <w:p>
            <w:r/>
            <w:r>
              <w:rPr>
                <w:b w:val="0"/>
                <w:i w:val="0"/>
              </w:rPr>
              <w:t>$25,000, $50,000, $100,000 or $250,000</w:t>
            </w:r>
          </w:p>
        </w:tc>
      </w:tr>
      <w:tr>
        <w:tc>
          <w:tcPr>
            <w:tcW w:type="dxa" w:w="3249"/>
          </w:tcPr>
          <w:p>
            <w:r/>
            <w:hyperlink w:anchor="c_bpk_crime_cover_money">
              <w:r>
                <w:rPr>
                  <w:color w:val="2E5C4E"/>
                  <w:u w:val="single"/>
                </w:rPr>
                <w:t xml:space="preserve">The Money clause</w:t>
              </w:r>
            </w:hyperlink>
          </w:p>
        </w:tc>
        <w:tc>
          <w:tcPr>
            <w:tcW w:type="dxa" w:w="3249"/>
          </w:tcPr>
          <w:p>
            <w:r/>
            <w:r>
              <w:rPr>
                <w:b w:val="0"/>
                <w:i w:val="0"/>
              </w:rPr>
              <w:t>Money custody sub-limits</w:t>
            </w:r>
          </w:p>
        </w:tc>
        <w:tc>
          <w:tcPr>
            <w:tcW w:type="dxa" w:w="3249"/>
          </w:tcPr>
          <w:p>
            <w:r/>
            <w:r>
              <w:rPr>
                <w:b w:val="0"/>
                <w:i w:val="0"/>
              </w:rPr>
              <w:t>Premises in safe 50% of section limit; premises not in safe $5,000; transit 50% of section limit; private residence $2,500</w:t>
            </w:r>
          </w:p>
        </w:tc>
      </w:tr>
      <w:tr>
        <w:tc>
          <w:tcPr>
            <w:tcW w:type="dxa" w:w="3249"/>
          </w:tcPr>
          <w:p>
            <w:r/>
            <w:hyperlink w:anchor="c_bpk_crime_cover_social_engineering_fra">
              <w:r>
                <w:rPr>
                  <w:color w:val="2E5C4E"/>
                  <w:u w:val="single"/>
                </w:rPr>
                <w:t xml:space="preserve">The Social Engineering Fraud clause</w:t>
              </w:r>
            </w:hyperlink>
          </w:p>
        </w:tc>
        <w:tc>
          <w:tcPr>
            <w:tcW w:type="dxa" w:w="3249"/>
          </w:tcPr>
          <w:p>
            <w:r/>
            <w:r>
              <w:rPr>
                <w:b w:val="0"/>
                <w:i w:val="0"/>
              </w:rPr>
              <w:t>Social engineering sub-limit</w:t>
            </w:r>
          </w:p>
        </w:tc>
        <w:tc>
          <w:tcPr>
            <w:tcW w:type="dxa" w:w="3249"/>
          </w:tcPr>
          <w:p>
            <w:r/>
            <w:r>
              <w:rPr>
                <w:b w:val="0"/>
                <w:i w:val="0"/>
              </w:rPr>
              <w:t>25% of the section limit, where operative</w:t>
            </w:r>
          </w:p>
        </w:tc>
      </w:tr>
      <w:tr>
        <w:tc>
          <w:tcPr>
            <w:tcW w:type="dxa" w:w="3249"/>
          </w:tcPr>
          <w:p>
            <w:r/>
            <w:hyperlink w:anchor="c_bpk_glass_additional_benefits">
              <w:r>
                <w:rPr>
                  <w:color w:val="2E5C4E"/>
                  <w:u w:val="single"/>
                </w:rPr>
                <w:t xml:space="preserve">The Glass Additional Benefits extension</w:t>
              </w:r>
            </w:hyperlink>
          </w:p>
        </w:tc>
        <w:tc>
          <w:tcPr>
            <w:tcW w:type="dxa" w:w="3249"/>
          </w:tcPr>
          <w:p>
            <w:r/>
            <w:r>
              <w:rPr>
                <w:b w:val="0"/>
                <w:i w:val="0"/>
              </w:rPr>
              <w:t>Boarding up; frame damage; display stock</w:t>
            </w:r>
          </w:p>
        </w:tc>
        <w:tc>
          <w:tcPr>
            <w:tcW w:type="dxa" w:w="3249"/>
          </w:tcPr>
          <w:p>
            <w:r/>
            <w:r>
              <w:rPr>
                <w:b w:val="0"/>
                <w:i w:val="0"/>
              </w:rPr>
              <w:t>$5,000 each</w:t>
            </w:r>
          </w:p>
        </w:tc>
      </w:tr>
      <w:tr>
        <w:tc>
          <w:tcPr>
            <w:tcW w:type="dxa" w:w="3249"/>
          </w:tcPr>
          <w:p>
            <w:r/>
            <w:hyperlink w:anchor="c_bpk_glass_additional_benefits">
              <w:r>
                <w:rPr>
                  <w:color w:val="2E5C4E"/>
                  <w:u w:val="single"/>
                </w:rPr>
                <w:t xml:space="preserve">The Glass Additional Benefits extension</w:t>
              </w:r>
            </w:hyperlink>
          </w:p>
        </w:tc>
        <w:tc>
          <w:tcPr>
            <w:tcW w:type="dxa" w:w="3249"/>
          </w:tcPr>
          <w:p>
            <w:r/>
            <w:r>
              <w:rPr>
                <w:b w:val="0"/>
                <w:i w:val="0"/>
              </w:rPr>
              <w:t>Alarm reconnection</w:t>
            </w:r>
          </w:p>
        </w:tc>
        <w:tc>
          <w:tcPr>
            <w:tcW w:type="dxa" w:w="3249"/>
          </w:tcPr>
          <w:p>
            <w:r/>
            <w:r>
              <w:rPr>
                <w:b w:val="0"/>
                <w:i w:val="0"/>
              </w:rPr>
              <w:t>$2,500</w:t>
            </w:r>
          </w:p>
        </w:tc>
      </w:tr>
      <w:tr>
        <w:tc>
          <w:tcPr>
            <w:tcW w:type="dxa" w:w="3249"/>
          </w:tcPr>
          <w:p>
            <w:r/>
            <w:hyperlink w:anchor="c_bpk_liability_cover">
              <w:r>
                <w:rPr>
                  <w:color w:val="2E5C4E"/>
                  <w:u w:val="single"/>
                </w:rPr>
                <w:t xml:space="preserve">The Liability for Injury and Damage clause</w:t>
              </w:r>
            </w:hyperlink>
          </w:p>
        </w:tc>
        <w:tc>
          <w:tcPr>
            <w:tcW w:type="dxa" w:w="3249"/>
          </w:tcPr>
          <w:p>
            <w:r/>
            <w:r>
              <w:rPr>
                <w:b w:val="0"/>
                <w:i w:val="0"/>
              </w:rPr>
              <w:t>Geographical limits</w:t>
            </w:r>
          </w:p>
        </w:tc>
        <w:tc>
          <w:tcPr>
            <w:tcW w:type="dxa" w:w="3249"/>
          </w:tcPr>
          <w:p>
            <w:r/>
            <w:r>
              <w:rPr>
                <w:b w:val="0"/>
                <w:i w:val="0"/>
              </w:rPr>
              <w:t>Australia</w:t>
            </w:r>
          </w:p>
        </w:tc>
      </w:tr>
      <w:tr>
        <w:tc>
          <w:tcPr>
            <w:tcW w:type="dxa" w:w="3249"/>
          </w:tcPr>
          <w:p>
            <w:r/>
            <w:hyperlink w:anchor="c_bpk_liability_limits">
              <w:r>
                <w:rPr>
                  <w:color w:val="2E5C4E"/>
                  <w:u w:val="single"/>
                </w:rPr>
                <w:t xml:space="preserve">The Liability Limits provision</w:t>
              </w:r>
            </w:hyperlink>
          </w:p>
        </w:tc>
        <w:tc>
          <w:tcPr>
            <w:tcW w:type="dxa" w:w="3249"/>
          </w:tcPr>
          <w:p>
            <w:r/>
            <w:r>
              <w:rPr>
                <w:b w:val="0"/>
                <w:i w:val="0"/>
              </w:rPr>
              <w:t>Limit options</w:t>
            </w:r>
          </w:p>
        </w:tc>
        <w:tc>
          <w:tcPr>
            <w:tcW w:type="dxa" w:w="3249"/>
          </w:tcPr>
          <w:p>
            <w:r/>
            <w:r>
              <w:rPr>
                <w:b w:val="0"/>
                <w:i w:val="0"/>
              </w:rPr>
              <w:t>$5,000,000, $10,000,000 or $20,000,000</w:t>
            </w:r>
          </w:p>
        </w:tc>
      </w:tr>
      <w:tr>
        <w:tc>
          <w:tcPr>
            <w:tcW w:type="dxa" w:w="3249"/>
          </w:tcPr>
          <w:p>
            <w:r/>
            <w:hyperlink w:anchor="c_bpk_liability_additional_benefits">
              <w:r>
                <w:rPr>
                  <w:color w:val="2E5C4E"/>
                  <w:u w:val="single"/>
                </w:rPr>
                <w:t xml:space="preserve">The Liability Additional Benefits extension</w:t>
              </w:r>
            </w:hyperlink>
          </w:p>
        </w:tc>
        <w:tc>
          <w:tcPr>
            <w:tcW w:type="dxa" w:w="3249"/>
          </w:tcPr>
          <w:p>
            <w:r/>
            <w:r>
              <w:rPr>
                <w:b w:val="0"/>
                <w:i w:val="0"/>
              </w:rPr>
              <w:t>Tenants' liability</w:t>
            </w:r>
          </w:p>
        </w:tc>
        <w:tc>
          <w:tcPr>
            <w:tcW w:type="dxa" w:w="3249"/>
          </w:tcPr>
          <w:p>
            <w:r/>
            <w:r>
              <w:rPr>
                <w:b w:val="0"/>
                <w:i w:val="0"/>
              </w:rPr>
              <w:t>$500,000 each Occurrence</w:t>
            </w:r>
          </w:p>
        </w:tc>
      </w:tr>
      <w:tr>
        <w:tc>
          <w:tcPr>
            <w:tcW w:type="dxa" w:w="3249"/>
          </w:tcPr>
          <w:p>
            <w:r/>
            <w:hyperlink w:anchor="c_bpk_liability_additional_benefits">
              <w:r>
                <w:rPr>
                  <w:color w:val="2E5C4E"/>
                  <w:u w:val="single"/>
                </w:rPr>
                <w:t xml:space="preserve">The Liability Additional Benefits extension</w:t>
              </w:r>
            </w:hyperlink>
          </w:p>
        </w:tc>
        <w:tc>
          <w:tcPr>
            <w:tcW w:type="dxa" w:w="3249"/>
          </w:tcPr>
          <w:p>
            <w:r/>
            <w:r>
              <w:rPr>
                <w:b w:val="0"/>
                <w:i w:val="0"/>
              </w:rPr>
              <w:t>Property in physical or legal control</w:t>
            </w:r>
          </w:p>
        </w:tc>
        <w:tc>
          <w:tcPr>
            <w:tcW w:type="dxa" w:w="3249"/>
          </w:tcPr>
          <w:p>
            <w:r/>
            <w:r>
              <w:rPr>
                <w:b w:val="0"/>
                <w:i w:val="0"/>
              </w:rPr>
              <w:t>$250,000 each Occurrence</w:t>
            </w:r>
          </w:p>
        </w:tc>
      </w:tr>
      <w:tr>
        <w:tc>
          <w:tcPr>
            <w:tcW w:type="dxa" w:w="3249"/>
          </w:tcPr>
          <w:p>
            <w:r/>
            <w:hyperlink w:anchor="c_bpk_liability_additional_benefits">
              <w:r>
                <w:rPr>
                  <w:color w:val="2E5C4E"/>
                  <w:u w:val="single"/>
                </w:rPr>
                <w:t xml:space="preserve">The Liability Additional Benefits extension</w:t>
              </w:r>
            </w:hyperlink>
          </w:p>
        </w:tc>
        <w:tc>
          <w:tcPr>
            <w:tcW w:type="dxa" w:w="3249"/>
          </w:tcPr>
          <w:p>
            <w:r/>
            <w:r>
              <w:rPr>
                <w:b w:val="0"/>
                <w:i w:val="0"/>
              </w:rPr>
              <w:t>Statutory defence costs</w:t>
            </w:r>
          </w:p>
        </w:tc>
        <w:tc>
          <w:tcPr>
            <w:tcW w:type="dxa" w:w="3249"/>
          </w:tcPr>
          <w:p>
            <w:r/>
            <w:r>
              <w:rPr>
                <w:b w:val="0"/>
                <w:i w:val="0"/>
              </w:rPr>
              <w:t>$500,000 in total</w:t>
            </w:r>
          </w:p>
        </w:tc>
      </w:tr>
      <w:tr>
        <w:tc>
          <w:tcPr>
            <w:tcW w:type="dxa" w:w="3249"/>
          </w:tcPr>
          <w:p>
            <w:r/>
            <w:hyperlink w:anchor="c_bpk_liability_additional_benefits">
              <w:r>
                <w:rPr>
                  <w:color w:val="2E5C4E"/>
                  <w:u w:val="single"/>
                </w:rPr>
                <w:t xml:space="preserve">The Liability Additional Benefits extension</w:t>
              </w:r>
            </w:hyperlink>
          </w:p>
        </w:tc>
        <w:tc>
          <w:tcPr>
            <w:tcW w:type="dxa" w:w="3249"/>
          </w:tcPr>
          <w:p>
            <w:r/>
            <w:r>
              <w:rPr>
                <w:b w:val="0"/>
                <w:i w:val="0"/>
              </w:rPr>
              <w:t>Wrongful arrest</w:t>
            </w:r>
          </w:p>
        </w:tc>
        <w:tc>
          <w:tcPr>
            <w:tcW w:type="dxa" w:w="3249"/>
          </w:tcPr>
          <w:p>
            <w:r/>
            <w:r>
              <w:rPr>
                <w:b w:val="0"/>
                <w:i w:val="0"/>
              </w:rPr>
              <w:t>$250,000 each Occurrence</w:t>
            </w:r>
          </w:p>
        </w:tc>
      </w:tr>
      <w:tr>
        <w:tc>
          <w:tcPr>
            <w:tcW w:type="dxa" w:w="3249"/>
          </w:tcPr>
          <w:p>
            <w:r/>
            <w:hyperlink w:anchor="c_bpk_liability_additional_benefits">
              <w:r>
                <w:rPr>
                  <w:color w:val="2E5C4E"/>
                  <w:u w:val="single"/>
                </w:rPr>
                <w:t xml:space="preserve">The Liability Additional Benefits extension</w:t>
              </w:r>
            </w:hyperlink>
          </w:p>
        </w:tc>
        <w:tc>
          <w:tcPr>
            <w:tcW w:type="dxa" w:w="3249"/>
          </w:tcPr>
          <w:p>
            <w:r/>
            <w:r>
              <w:rPr>
                <w:b w:val="0"/>
                <w:i w:val="0"/>
              </w:rPr>
              <w:t>Emergency medical expenses</w:t>
            </w:r>
          </w:p>
        </w:tc>
        <w:tc>
          <w:tcPr>
            <w:tcW w:type="dxa" w:w="3249"/>
          </w:tcPr>
          <w:p>
            <w:r/>
            <w:r>
              <w:rPr>
                <w:b w:val="0"/>
                <w:i w:val="0"/>
              </w:rPr>
              <w:t>$5,000 each person</w:t>
            </w:r>
          </w:p>
        </w:tc>
      </w:tr>
      <w:tr>
        <w:tc>
          <w:tcPr>
            <w:tcW w:type="dxa" w:w="3249"/>
          </w:tcPr>
          <w:p>
            <w:r/>
            <w:hyperlink w:anchor="c_bpk_liability_additional_benefits">
              <w:r>
                <w:rPr>
                  <w:color w:val="2E5C4E"/>
                  <w:u w:val="single"/>
                </w:rPr>
                <w:t xml:space="preserve">The Liability Additional Benefits extension</w:t>
              </w:r>
            </w:hyperlink>
          </w:p>
        </w:tc>
        <w:tc>
          <w:tcPr>
            <w:tcW w:type="dxa" w:w="3249"/>
          </w:tcPr>
          <w:p>
            <w:r/>
            <w:r>
              <w:rPr>
                <w:b w:val="0"/>
                <w:i w:val="0"/>
              </w:rPr>
              <w:t>Underground services</w:t>
            </w:r>
          </w:p>
        </w:tc>
        <w:tc>
          <w:tcPr>
            <w:tcW w:type="dxa" w:w="3249"/>
          </w:tcPr>
          <w:p>
            <w:r/>
            <w:r>
              <w:rPr>
                <w:b w:val="0"/>
                <w:i w:val="0"/>
              </w:rPr>
              <w:t>$500,000</w:t>
            </w:r>
          </w:p>
        </w:tc>
      </w:tr>
      <w:tr>
        <w:tc>
          <w:tcPr>
            <w:tcW w:type="dxa" w:w="3249"/>
          </w:tcPr>
          <w:p>
            <w:r/>
            <w:hyperlink w:anchor="c_bpk_liability_excl_vehicles_aircraft_w">
              <w:r>
                <w:rPr>
                  <w:color w:val="2E5C4E"/>
                  <w:u w:val="single"/>
                </w:rPr>
                <w:t xml:space="preserve">The Vehicles, Aircraft and Watercraft exclusion</w:t>
              </w:r>
            </w:hyperlink>
          </w:p>
        </w:tc>
        <w:tc>
          <w:tcPr>
            <w:tcW w:type="dxa" w:w="3249"/>
          </w:tcPr>
          <w:p>
            <w:r/>
            <w:r>
              <w:rPr>
                <w:b w:val="0"/>
                <w:i w:val="0"/>
              </w:rPr>
              <w:t>Watercraft length</w:t>
            </w:r>
          </w:p>
        </w:tc>
        <w:tc>
          <w:tcPr>
            <w:tcW w:type="dxa" w:w="3249"/>
          </w:tcPr>
          <w:p>
            <w:r/>
            <w:r>
              <w:rPr>
                <w:b w:val="0"/>
                <w:i w:val="0"/>
              </w:rPr>
              <w:t>8 metres</w:t>
            </w:r>
          </w:p>
        </w:tc>
      </w:tr>
      <w:tr>
        <w:tc>
          <w:tcPr>
            <w:tcW w:type="dxa" w:w="3249"/>
          </w:tcPr>
          <w:p>
            <w:r/>
            <w:hyperlink w:anchor="c_bpk_equipment_basis_of_settlement">
              <w:r>
                <w:rPr>
                  <w:color w:val="2E5C4E"/>
                  <w:u w:val="single"/>
                </w:rPr>
                <w:t xml:space="preserve">The Settling Equipment Damage provision</w:t>
              </w:r>
            </w:hyperlink>
            <w:r>
              <w:rPr>
                <w:b w:val="0"/>
                <w:i w:val="0"/>
              </w:rPr>
              <w:t xml:space="preserve">, </w:t>
            </w:r>
            <w:hyperlink w:anchor="c_bpk_equipment_additional_benefits">
              <w:r>
                <w:rPr>
                  <w:color w:val="2E5C4E"/>
                  <w:u w:val="single"/>
                </w:rPr>
                <w:t xml:space="preserve">the Equipment Additional Benefits extension</w:t>
              </w:r>
            </w:hyperlink>
          </w:p>
        </w:tc>
        <w:tc>
          <w:tcPr>
            <w:tcW w:type="dxa" w:w="3249"/>
          </w:tcPr>
          <w:p>
            <w:r/>
            <w:r>
              <w:rPr>
                <w:b w:val="0"/>
                <w:i w:val="0"/>
              </w:rPr>
              <w:t>Wear and tear age; expediting; refrigerated stock; hire; data restoration; increased cost of working</w:t>
            </w:r>
          </w:p>
        </w:tc>
        <w:tc>
          <w:tcPr>
            <w:tcW w:type="dxa" w:w="3249"/>
          </w:tcPr>
          <w:p>
            <w:r/>
            <w:r>
              <w:rPr>
                <w:b w:val="0"/>
                <w:i w:val="0"/>
              </w:rPr>
              <w:t>5 years; $25,000 each</w:t>
            </w:r>
          </w:p>
        </w:tc>
      </w:tr>
      <w:tr>
        <w:tc>
          <w:tcPr>
            <w:tcW w:type="dxa" w:w="3249"/>
          </w:tcPr>
          <w:p>
            <w:r/>
            <w:hyperlink w:anchor="c_bpk_gp_cover">
              <w:r>
                <w:rPr>
                  <w:color w:val="2E5C4E"/>
                  <w:u w:val="single"/>
                </w:rPr>
                <w:t xml:space="preserve">The Portable Business Property clause</w:t>
              </w:r>
            </w:hyperlink>
            <w:r>
              <w:rPr>
                <w:b w:val="0"/>
                <w:i w:val="0"/>
              </w:rPr>
              <w:t xml:space="preserve">, </w:t>
            </w:r>
            <w:hyperlink w:anchor="c_bpk_gp_basis_of_settlement">
              <w:r>
                <w:rPr>
                  <w:color w:val="2E5C4E"/>
                  <w:u w:val="single"/>
                </w:rPr>
                <w:t xml:space="preserve">the Settling General Property provision</w:t>
              </w:r>
            </w:hyperlink>
          </w:p>
        </w:tc>
        <w:tc>
          <w:tcPr>
            <w:tcW w:type="dxa" w:w="3249"/>
          </w:tcPr>
          <w:p>
            <w:r/>
            <w:r>
              <w:rPr>
                <w:b w:val="0"/>
                <w:i w:val="0"/>
              </w:rPr>
              <w:t>Per-item limit; new-for-old age</w:t>
            </w:r>
          </w:p>
        </w:tc>
        <w:tc>
          <w:tcPr>
            <w:tcW w:type="dxa" w:w="3249"/>
          </w:tcPr>
          <w:p>
            <w:r/>
            <w:r>
              <w:rPr>
                <w:b w:val="0"/>
                <w:i w:val="0"/>
              </w:rPr>
              <w:t>$5,000; 5 years</w:t>
            </w:r>
          </w:p>
        </w:tc>
      </w:tr>
      <w:tr>
        <w:tc>
          <w:tcPr>
            <w:tcW w:type="dxa" w:w="3249"/>
          </w:tcPr>
          <w:p>
            <w:r/>
            <w:hyperlink w:anchor="c_bpk_transit_cover">
              <w:r>
                <w:rPr>
                  <w:color w:val="2E5C4E"/>
                  <w:u w:val="single"/>
                </w:rPr>
                <w:t xml:space="preserve">The Damage to Goods in Transit clause</w:t>
              </w:r>
            </w:hyperlink>
          </w:p>
        </w:tc>
        <w:tc>
          <w:tcPr>
            <w:tcW w:type="dxa" w:w="3249"/>
          </w:tcPr>
          <w:p>
            <w:r/>
            <w:r>
              <w:rPr>
                <w:b w:val="0"/>
                <w:i w:val="0"/>
              </w:rPr>
              <w:t>Limit any one conveyance</w:t>
            </w:r>
          </w:p>
        </w:tc>
        <w:tc>
          <w:tcPr>
            <w:tcW w:type="dxa" w:w="3249"/>
          </w:tcPr>
          <w:p>
            <w:r/>
            <w:r>
              <w:rPr>
                <w:b w:val="0"/>
                <w:i w:val="0"/>
              </w:rPr>
              <w:t>As declared in the Schedule</w:t>
            </w:r>
          </w:p>
        </w:tc>
      </w:tr>
      <w:tr>
        <w:tc>
          <w:tcPr>
            <w:tcW w:type="dxa" w:w="3249"/>
          </w:tcPr>
          <w:p>
            <w:r/>
            <w:hyperlink w:anchor="c_bpk_tax_cover">
              <w:r>
                <w:rPr>
                  <w:color w:val="2E5C4E"/>
                  <w:u w:val="single"/>
                </w:rPr>
                <w:t xml:space="preserve">The Professional Fees for an Audit clause</w:t>
              </w:r>
            </w:hyperlink>
          </w:p>
        </w:tc>
        <w:tc>
          <w:tcPr>
            <w:tcW w:type="dxa" w:w="3249"/>
          </w:tcPr>
          <w:p>
            <w:r/>
            <w:r>
              <w:rPr>
                <w:b w:val="0"/>
                <w:i w:val="0"/>
              </w:rPr>
              <w:t>Section limit options</w:t>
            </w:r>
          </w:p>
        </w:tc>
        <w:tc>
          <w:tcPr>
            <w:tcW w:type="dxa" w:w="3249"/>
          </w:tcPr>
          <w:p>
            <w:r/>
            <w:r>
              <w:rPr>
                <w:b w:val="0"/>
                <w:i w:val="0"/>
              </w:rPr>
              <w:t>$10,000, $25,000, $50,000 or $100,000</w:t>
            </w:r>
          </w:p>
        </w:tc>
      </w:tr>
      <w:tr>
        <w:tc>
          <w:tcPr>
            <w:tcW w:type="dxa" w:w="3249"/>
          </w:tcPr>
          <w:p>
            <w:r/>
            <w:hyperlink w:anchor="c_bpk_cyber_cover_business_interruption">
              <w:r>
                <w:rPr>
                  <w:color w:val="2E5C4E"/>
                  <w:u w:val="single"/>
                </w:rPr>
                <w:t xml:space="preserve">The Cyber Business Interruption clause</w:t>
              </w:r>
            </w:hyperlink>
          </w:p>
        </w:tc>
        <w:tc>
          <w:tcPr>
            <w:tcW w:type="dxa" w:w="3249"/>
          </w:tcPr>
          <w:p>
            <w:r/>
            <w:r>
              <w:rPr>
                <w:b w:val="0"/>
                <w:i w:val="0"/>
              </w:rPr>
              <w:t>Waiting period; indemnity period</w:t>
            </w:r>
          </w:p>
        </w:tc>
        <w:tc>
          <w:tcPr>
            <w:tcW w:type="dxa" w:w="3249"/>
          </w:tcPr>
          <w:p>
            <w:r/>
            <w:r>
              <w:rPr>
                <w:b w:val="0"/>
                <w:i w:val="0"/>
              </w:rPr>
              <w:t>12 hours; 90 days</w:t>
            </w:r>
          </w:p>
        </w:tc>
      </w:tr>
      <w:tr>
        <w:tc>
          <w:tcPr>
            <w:tcW w:type="dxa" w:w="3249"/>
          </w:tcPr>
          <w:p>
            <w:r/>
            <w:hyperlink w:anchor="c_bpk_cyber_limits_and_aggregation">
              <w:r>
                <w:rPr>
                  <w:color w:val="2E5C4E"/>
                  <w:u w:val="single"/>
                </w:rPr>
                <w:t xml:space="preserve">The Cyber Limits and Aggregation provision</w:t>
              </w:r>
            </w:hyperlink>
          </w:p>
        </w:tc>
        <w:tc>
          <w:tcPr>
            <w:tcW w:type="dxa" w:w="3249"/>
          </w:tcPr>
          <w:p>
            <w:r/>
            <w:r>
              <w:rPr>
                <w:b w:val="0"/>
                <w:i w:val="0"/>
              </w:rPr>
              <w:t>Section limit options</w:t>
            </w:r>
          </w:p>
        </w:tc>
        <w:tc>
          <w:tcPr>
            <w:tcW w:type="dxa" w:w="3249"/>
          </w:tcPr>
          <w:p>
            <w:r/>
            <w:r>
              <w:rPr>
                <w:b w:val="0"/>
                <w:i w:val="0"/>
              </w:rPr>
              <w:t>$250,000, $500,000, $1,000,000 or $2,000,000</w:t>
            </w:r>
          </w:p>
        </w:tc>
      </w:tr>
      <w:tr>
        <w:tc>
          <w:tcPr>
            <w:tcW w:type="dxa" w:w="3249"/>
          </w:tcPr>
          <w:p>
            <w:r/>
            <w:hyperlink w:anchor="c_bpk_ml_limits">
              <w:r>
                <w:rPr>
                  <w:color w:val="2E5C4E"/>
                  <w:u w:val="single"/>
                </w:rPr>
                <w:t xml:space="preserve">The Limits, Advancement and Allocation provision</w:t>
              </w:r>
            </w:hyperlink>
          </w:p>
        </w:tc>
        <w:tc>
          <w:tcPr>
            <w:tcW w:type="dxa" w:w="3249"/>
          </w:tcPr>
          <w:p>
            <w:r/>
            <w:r>
              <w:rPr>
                <w:b w:val="0"/>
                <w:i w:val="0"/>
              </w:rPr>
              <w:t>Section limit options</w:t>
            </w:r>
          </w:p>
        </w:tc>
        <w:tc>
          <w:tcPr>
            <w:tcW w:type="dxa" w:w="3249"/>
          </w:tcPr>
          <w:p>
            <w:r/>
            <w:r>
              <w:rPr>
                <w:b w:val="0"/>
                <w:i w:val="0"/>
              </w:rPr>
              <w:t>$500,000, $1,000,000 or $2,000,000</w:t>
            </w:r>
          </w:p>
        </w:tc>
      </w:tr>
      <w:tr>
        <w:tc>
          <w:tcPr>
            <w:tcW w:type="dxa" w:w="3249"/>
          </w:tcPr>
          <w:p>
            <w:r/>
            <w:hyperlink w:anchor="c_bpk_ml_claims_made">
              <w:r>
                <w:rPr>
                  <w:color w:val="2E5C4E"/>
                  <w:u w:val="single"/>
                </w:rPr>
                <w:t xml:space="preserve">The Management Liability Claims-made Conditions condition</w:t>
              </w:r>
            </w:hyperlink>
          </w:p>
        </w:tc>
        <w:tc>
          <w:tcPr>
            <w:tcW w:type="dxa" w:w="3249"/>
          </w:tcPr>
          <w:p>
            <w:r/>
            <w:r>
              <w:rPr>
                <w:b w:val="0"/>
                <w:i w:val="0"/>
              </w:rPr>
              <w:t>Extended reporting period premium; retired Insured persons' run-off</w:t>
            </w:r>
          </w:p>
        </w:tc>
        <w:tc>
          <w:tcPr>
            <w:tcW w:type="dxa" w:w="3249"/>
          </w:tcPr>
          <w:p>
            <w:r/>
            <w:r>
              <w:rPr>
                <w:b w:val="0"/>
                <w:i w:val="0"/>
              </w:rPr>
              <w:t>100% of the annual Management Liability premium; 72 months</w:t>
            </w:r>
          </w:p>
        </w:tc>
      </w:tr>
      <w:tr>
        <w:tc>
          <w:tcPr>
            <w:tcW w:type="dxa" w:w="3249"/>
          </w:tcPr>
          <w:p>
            <w:r/>
            <w:hyperlink w:anchor="c_bpk_ml_additional_benefits">
              <w:r>
                <w:rPr>
                  <w:color w:val="2E5C4E"/>
                  <w:u w:val="single"/>
                </w:rPr>
                <w:t xml:space="preserve">The Management Liability Additional Benefits extension</w:t>
              </w:r>
            </w:hyperlink>
          </w:p>
        </w:tc>
        <w:tc>
          <w:tcPr>
            <w:tcW w:type="dxa" w:w="3249"/>
          </w:tcPr>
          <w:p>
            <w:r/>
            <w:r>
              <w:rPr>
                <w:b w:val="0"/>
                <w:i w:val="0"/>
              </w:rPr>
              <w:t>Investigation costs</w:t>
            </w:r>
          </w:p>
        </w:tc>
        <w:tc>
          <w:tcPr>
            <w:tcW w:type="dxa" w:w="3249"/>
          </w:tcPr>
          <w:p>
            <w:r/>
            <w:r>
              <w:rPr>
                <w:b w:val="0"/>
                <w:i w:val="0"/>
              </w:rPr>
              <w:t>$100,000 in total</w:t>
            </w:r>
          </w:p>
        </w:tc>
      </w:tr>
      <w:tr>
        <w:tc>
          <w:tcPr>
            <w:tcW w:type="dxa" w:w="3249"/>
          </w:tcPr>
          <w:p>
            <w:r/>
            <w:hyperlink w:anchor="c_bpk_ml_additional_benefits">
              <w:r>
                <w:rPr>
                  <w:color w:val="2E5C4E"/>
                  <w:u w:val="single"/>
                </w:rPr>
                <w:t xml:space="preserve">The Management Liability Additional Benefits extension</w:t>
              </w:r>
            </w:hyperlink>
          </w:p>
        </w:tc>
        <w:tc>
          <w:tcPr>
            <w:tcW w:type="dxa" w:w="3249"/>
          </w:tcPr>
          <w:p>
            <w:r/>
            <w:r>
              <w:rPr>
                <w:b w:val="0"/>
                <w:i w:val="0"/>
              </w:rPr>
              <w:t>Work health and safety defence costs</w:t>
            </w:r>
          </w:p>
        </w:tc>
        <w:tc>
          <w:tcPr>
            <w:tcW w:type="dxa" w:w="3249"/>
          </w:tcPr>
          <w:p>
            <w:r/>
            <w:r>
              <w:rPr>
                <w:b w:val="0"/>
                <w:i w:val="0"/>
              </w:rPr>
              <w:t>$250,000 in total</w:t>
            </w:r>
          </w:p>
        </w:tc>
      </w:tr>
      <w:tr>
        <w:tc>
          <w:tcPr>
            <w:tcW w:type="dxa" w:w="3249"/>
          </w:tcPr>
          <w:p>
            <w:r/>
            <w:hyperlink w:anchor="c_bpk_ml_additional_benefits">
              <w:r>
                <w:rPr>
                  <w:color w:val="2E5C4E"/>
                  <w:u w:val="single"/>
                </w:rPr>
                <w:t xml:space="preserve">The Management Liability Additional Benefits extension</w:t>
              </w:r>
            </w:hyperlink>
          </w:p>
        </w:tc>
        <w:tc>
          <w:tcPr>
            <w:tcW w:type="dxa" w:w="3249"/>
          </w:tcPr>
          <w:p>
            <w:r/>
            <w:r>
              <w:rPr>
                <w:b w:val="0"/>
                <w:i w:val="0"/>
              </w:rPr>
              <w:t>Counselling</w:t>
            </w:r>
          </w:p>
        </w:tc>
        <w:tc>
          <w:tcPr>
            <w:tcW w:type="dxa" w:w="3249"/>
          </w:tcPr>
          <w:p>
            <w:r/>
            <w:r>
              <w:rPr>
                <w:b w:val="0"/>
                <w:i w:val="0"/>
              </w:rPr>
              <w:t>$5,000 each person; $25,000 in total</w:t>
            </w:r>
          </w:p>
        </w:tc>
      </w:tr>
      <w:tr>
        <w:tc>
          <w:tcPr>
            <w:tcW w:type="dxa" w:w="3249"/>
          </w:tcPr>
          <w:p>
            <w:r/>
            <w:hyperlink w:anchor="c_bpk_ml_exclusions">
              <w:r>
                <w:rPr>
                  <w:color w:val="2E5C4E"/>
                  <w:u w:val="single"/>
                </w:rPr>
                <w:t xml:space="preserve">The Management Liability Exclusions exclusion</w:t>
              </w:r>
            </w:hyperlink>
          </w:p>
        </w:tc>
        <w:tc>
          <w:tcPr>
            <w:tcW w:type="dxa" w:w="3249"/>
          </w:tcPr>
          <w:p>
            <w:r/>
            <w:r>
              <w:rPr>
                <w:b w:val="0"/>
                <w:i w:val="0"/>
              </w:rPr>
              <w:t>Shareholding percentage</w:t>
            </w:r>
          </w:p>
        </w:tc>
        <w:tc>
          <w:tcPr>
            <w:tcW w:type="dxa" w:w="3249"/>
          </w:tcPr>
          <w:p>
            <w:r/>
            <w:r>
              <w:rPr>
                <w:b w:val="0"/>
                <w:i w:val="0"/>
              </w:rPr>
              <w:t>15%</w:t>
            </w:r>
          </w:p>
        </w:tc>
      </w:tr>
      <w:tr>
        <w:tc>
          <w:tcPr>
            <w:tcW w:type="dxa" w:w="3249"/>
          </w:tcPr>
          <w:p>
            <w:r/>
            <w:hyperlink w:anchor="c_bpk_ml_exclusions">
              <w:r>
                <w:rPr>
                  <w:color w:val="2E5C4E"/>
                  <w:u w:val="single"/>
                </w:rPr>
                <w:t xml:space="preserve">The Management Liability Exclusions exclusion</w:t>
              </w:r>
            </w:hyperlink>
          </w:p>
        </w:tc>
        <w:tc>
          <w:tcPr>
            <w:tcW w:type="dxa" w:w="3249"/>
          </w:tcPr>
          <w:p>
            <w:r/>
            <w:r>
              <w:rPr>
                <w:b w:val="0"/>
                <w:i w:val="0"/>
              </w:rPr>
              <w:t>Pending and prior date</w:t>
            </w:r>
          </w:p>
        </w:tc>
        <w:tc>
          <w:tcPr>
            <w:tcW w:type="dxa" w:w="3249"/>
          </w:tcPr>
          <w:p>
            <w:r/>
            <w:r>
              <w:rPr>
                <w:b w:val="0"/>
                <w:i w:val="0"/>
              </w:rPr>
              <w:t>The Retroactive date</w:t>
            </w:r>
          </w:p>
        </w:tc>
      </w:tr>
      <w:tr>
        <w:tc>
          <w:tcPr>
            <w:tcW w:type="dxa" w:w="3249"/>
          </w:tcPr>
          <w:p>
            <w:r/>
            <w:hyperlink w:anchor="c_bpk_excl_mould">
              <w:r>
                <w:rPr>
                  <w:color w:val="2E5C4E"/>
                  <w:u w:val="single"/>
                </w:rPr>
                <w:t xml:space="preserve">The Mould exclusion</w:t>
              </w:r>
            </w:hyperlink>
          </w:p>
        </w:tc>
        <w:tc>
          <w:tcPr>
            <w:tcW w:type="dxa" w:w="3249"/>
          </w:tcPr>
          <w:p>
            <w:r/>
            <w:r>
              <w:rPr>
                <w:b w:val="0"/>
                <w:i w:val="0"/>
              </w:rPr>
              <w:t>Mould discovery window</w:t>
            </w:r>
          </w:p>
        </w:tc>
        <w:tc>
          <w:tcPr>
            <w:tcW w:type="dxa" w:w="3249"/>
          </w:tcPr>
          <w:p>
            <w:r/>
            <w:r>
              <w:rPr>
                <w:b w:val="0"/>
                <w:i w:val="0"/>
              </w:rPr>
              <w:t>72 hours</w:t>
            </w:r>
          </w:p>
        </w:tc>
      </w:tr>
      <w:tr>
        <w:tc>
          <w:tcPr>
            <w:tcW w:type="dxa" w:w="3249"/>
          </w:tcPr>
          <w:p>
            <w:r/>
            <w:hyperlink w:anchor="c_bpk_excl_unoccupied_premises">
              <w:r>
                <w:rPr>
                  <w:color w:val="2E5C4E"/>
                  <w:u w:val="single"/>
                </w:rPr>
                <w:t xml:space="preserve">The Unoccupied Premises exclusion</w:t>
              </w:r>
            </w:hyperlink>
            <w:r>
              <w:rPr>
                <w:b w:val="0"/>
                <w:i w:val="0"/>
              </w:rPr>
              <w:t xml:space="preserve">, </w:t>
            </w:r>
            <w:hyperlink w:anchor="c_bpk_def_unoccupied">
              <w:r>
                <w:rPr>
                  <w:color w:val="2E5C4E"/>
                  <w:u w:val="single"/>
                </w:rPr>
                <w:t xml:space="preserve">the definition of Unoccupied</w:t>
              </w:r>
            </w:hyperlink>
          </w:p>
        </w:tc>
        <w:tc>
          <w:tcPr>
            <w:tcW w:type="dxa" w:w="3249"/>
          </w:tcPr>
          <w:p>
            <w:r/>
            <w:r>
              <w:rPr>
                <w:b w:val="0"/>
                <w:i w:val="0"/>
              </w:rPr>
              <w:t>Unoccupied period</w:t>
            </w:r>
          </w:p>
        </w:tc>
        <w:tc>
          <w:tcPr>
            <w:tcW w:type="dxa" w:w="3249"/>
          </w:tcPr>
          <w:p>
            <w:r/>
            <w:r>
              <w:rPr>
                <w:b w:val="0"/>
                <w:i w:val="0"/>
              </w:rPr>
              <w:t>60 consecutive days</w:t>
            </w:r>
          </w:p>
        </w:tc>
      </w:tr>
    </w:tbl>
    <w:p>
      <w:bookmarkStart w:id="195" w:name="c_bpk_appendix_exclusion_applicability"/>
      <w:r>
        <w:rPr>
          <w:rFonts w:ascii="Georgia" w:hAnsi="Georgia" w:eastAsia="Georgia"/>
          <w:b/>
          <w:i w:val="0"/>
          <w:color w:val="1C1915"/>
          <w:sz w:val="32"/>
        </w:rPr>
        <w:t>Exclusion Applicability Table</w:t>
      </w:r>
      <w:bookmarkEnd w:id="195"/>
    </w:p>
    <w:p>
      <w:r>
        <w:rPr>
          <w:b w:val="0"/>
          <w:i w:val="0"/>
        </w:rPr>
        <w:t xml:space="preserve">This table says which of </w:t>
      </w:r>
      <w:hyperlink w:anchor="c_bpk_section_general_exclusions">
        <w:r>
          <w:rPr>
            <w:color w:val="2E5C4E"/>
            <w:u w:val="single"/>
          </w:rPr>
          <w:t xml:space="preserve">the General Exclusions section</w:t>
        </w:r>
      </w:hyperlink>
      <w:r>
        <w:rPr>
          <w:b w:val="0"/>
          <w:i w:val="0"/>
        </w:rPr>
        <w:t xml:space="preserve"> apply to which section. An exclusion applies to every section not named in the second column, and applies as modified to the sections named in the third column.</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Exclusion</w:t>
            </w:r>
          </w:p>
        </w:tc>
        <w:tc>
          <w:tcPr>
            <w:tcW w:type="dxa" w:w="3249"/>
          </w:tcPr>
          <w:p>
            <w:r/>
            <w:r>
              <w:rPr>
                <w:b w:val="0"/>
                <w:i w:val="0"/>
              </w:rPr>
              <w:t>Does not apply to</w:t>
            </w:r>
          </w:p>
        </w:tc>
        <w:tc>
          <w:tcPr>
            <w:tcW w:type="dxa" w:w="3249"/>
          </w:tcPr>
          <w:p>
            <w:r/>
            <w:r>
              <w:rPr>
                <w:b w:val="0"/>
                <w:i w:val="0"/>
              </w:rPr>
              <w:t>Applies as modified to</w:t>
            </w:r>
          </w:p>
        </w:tc>
      </w:tr>
      <w:tr>
        <w:tc>
          <w:tcPr>
            <w:tcW w:type="dxa" w:w="3249"/>
          </w:tcPr>
          <w:p>
            <w:r/>
            <w:hyperlink w:anchor="c_bpk_excl_war">
              <w:r>
                <w:rPr>
                  <w:color w:val="2E5C4E"/>
                  <w:u w:val="single"/>
                </w:rPr>
                <w:t xml:space="preserve">War</w:t>
              </w:r>
            </w:hyperlink>
          </w:p>
        </w:tc>
        <w:tc>
          <w:tcPr>
            <w:tcW w:type="dxa" w:w="3249"/>
          </w:tcPr>
          <w:p>
            <w:r/>
            <w:hyperlink w:anchor="c_bpk_section_cyber">
              <w:r>
                <w:rPr>
                  <w:color w:val="2E5C4E"/>
                  <w:u w:val="single"/>
                </w:rPr>
                <w:t xml:space="preserve">Cyber</w:t>
              </w:r>
            </w:hyperlink>
            <w:r>
              <w:rPr>
                <w:b w:val="0"/>
                <w:i w:val="0"/>
              </w:rPr>
              <w:t xml:space="preserve"> (</w:t>
            </w:r>
            <w:hyperlink w:anchor="c_bpk_cyber_excl_war_and_state_cyber_ope">
              <w:r>
                <w:rPr>
                  <w:color w:val="2E5C4E"/>
                  <w:u w:val="single"/>
                </w:rPr>
                <w:t xml:space="preserve">the War and State Cyber Operations exclusion</w:t>
              </w:r>
            </w:hyperlink>
            <w:r>
              <w:rPr>
                <w:b w:val="0"/>
                <w:i w:val="0"/>
              </w:rPr>
              <w:t xml:space="preserve"> applies instead)</w:t>
            </w:r>
          </w:p>
        </w:tc>
        <w:tc>
          <w:tcPr>
            <w:tcW w:type="dxa" w:w="3249"/>
          </w:tcPr>
          <w:p>
            <w:r/>
            <w:r>
              <w:rPr>
                <w:b w:val="0"/>
                <w:i w:val="0"/>
              </w:rPr>
              <w:t>None</w:t>
            </w:r>
          </w:p>
        </w:tc>
      </w:tr>
      <w:tr>
        <w:tc>
          <w:tcPr>
            <w:tcW w:type="dxa" w:w="3249"/>
          </w:tcPr>
          <w:p>
            <w:r/>
            <w:hyperlink w:anchor="c_bpk_excl_terrorism">
              <w:r>
                <w:rPr>
                  <w:color w:val="2E5C4E"/>
                  <w:u w:val="single"/>
                </w:rPr>
                <w:t xml:space="preserve">Terrorism</w:t>
              </w:r>
            </w:hyperlink>
          </w:p>
        </w:tc>
        <w:tc>
          <w:tcPr>
            <w:tcW w:type="dxa" w:w="3249"/>
          </w:tcPr>
          <w:p>
            <w:r/>
            <w:r>
              <w:rPr>
                <w:b w:val="0"/>
                <w:i w:val="0"/>
              </w:rPr>
              <w:t>None</w:t>
            </w:r>
          </w:p>
        </w:tc>
        <w:tc>
          <w:tcPr>
            <w:tcW w:type="dxa" w:w="3249"/>
          </w:tcPr>
          <w:p>
            <w:r/>
            <w:hyperlink w:anchor="c_bpk_section_property_damage">
              <w:r>
                <w:rPr>
                  <w:color w:val="2E5C4E"/>
                  <w:u w:val="single"/>
                </w:rPr>
                <w:t xml:space="preserve">Property Damage</w:t>
              </w:r>
            </w:hyperlink>
            <w:r>
              <w:rPr>
                <w:b w:val="0"/>
                <w:i w:val="0"/>
              </w:rPr>
              <w:t xml:space="preserve">: subject to the Terrorism Insurance Act 2003 (Cth); </w:t>
            </w:r>
            <w:hyperlink w:anchor="c_bpk_section_business_interruption">
              <w:r>
                <w:rPr>
                  <w:color w:val="2E5C4E"/>
                  <w:u w:val="single"/>
                </w:rPr>
                <w:t xml:space="preserve">Business Interruption</w:t>
              </w:r>
            </w:hyperlink>
            <w:r>
              <w:rPr>
                <w:b w:val="0"/>
                <w:i w:val="0"/>
              </w:rPr>
              <w:t>: subject to the Terrorism Insurance Act 2003 (Cth)</w:t>
            </w:r>
          </w:p>
        </w:tc>
      </w:tr>
      <w:tr>
        <w:tc>
          <w:tcPr>
            <w:tcW w:type="dxa" w:w="3249"/>
          </w:tcPr>
          <w:p>
            <w:r/>
            <w:hyperlink w:anchor="c_bpk_excl_nuclear">
              <w:r>
                <w:rPr>
                  <w:color w:val="2E5C4E"/>
                  <w:u w:val="single"/>
                </w:rPr>
                <w:t xml:space="preserve">Nuclear</w:t>
              </w:r>
            </w:hyperlink>
          </w:p>
        </w:tc>
        <w:tc>
          <w:tcPr>
            <w:tcW w:type="dxa" w:w="3249"/>
          </w:tcPr>
          <w:p>
            <w:r/>
            <w:r>
              <w:rPr>
                <w:b w:val="0"/>
                <w:i w:val="0"/>
              </w:rPr>
              <w:t>None</w:t>
            </w:r>
          </w:p>
        </w:tc>
        <w:tc>
          <w:tcPr>
            <w:tcW w:type="dxa" w:w="3249"/>
          </w:tcPr>
          <w:p>
            <w:r/>
            <w:r>
              <w:rPr>
                <w:b w:val="0"/>
                <w:i w:val="0"/>
              </w:rPr>
              <w:t>None</w:t>
            </w:r>
          </w:p>
        </w:tc>
      </w:tr>
      <w:tr>
        <w:tc>
          <w:tcPr>
            <w:tcW w:type="dxa" w:w="3249"/>
          </w:tcPr>
          <w:p>
            <w:r/>
            <w:hyperlink w:anchor="c_bpk_excl_asbestos">
              <w:r>
                <w:rPr>
                  <w:color w:val="2E5C4E"/>
                  <w:u w:val="single"/>
                </w:rPr>
                <w:t xml:space="preserve">Asbestos</w:t>
              </w:r>
            </w:hyperlink>
          </w:p>
        </w:tc>
        <w:tc>
          <w:tcPr>
            <w:tcW w:type="dxa" w:w="3249"/>
          </w:tcPr>
          <w:p>
            <w:r/>
            <w:r>
              <w:rPr>
                <w:b w:val="0"/>
                <w:i w:val="0"/>
              </w:rPr>
              <w:t>None</w:t>
            </w:r>
          </w:p>
        </w:tc>
        <w:tc>
          <w:tcPr>
            <w:tcW w:type="dxa" w:w="3249"/>
          </w:tcPr>
          <w:p>
            <w:r/>
            <w:r>
              <w:rPr>
                <w:b w:val="0"/>
                <w:i w:val="0"/>
              </w:rPr>
              <w:t>None</w:t>
            </w:r>
          </w:p>
        </w:tc>
      </w:tr>
      <w:tr>
        <w:tc>
          <w:tcPr>
            <w:tcW w:type="dxa" w:w="3249"/>
          </w:tcPr>
          <w:p>
            <w:r/>
            <w:hyperlink w:anchor="c_bpk_excl_mould">
              <w:r>
                <w:rPr>
                  <w:color w:val="2E5C4E"/>
                  <w:u w:val="single"/>
                </w:rPr>
                <w:t xml:space="preserve">Mould</w:t>
              </w:r>
            </w:hyperlink>
          </w:p>
        </w:tc>
        <w:tc>
          <w:tcPr>
            <w:tcW w:type="dxa" w:w="3249"/>
          </w:tcPr>
          <w:p>
            <w:r/>
            <w:hyperlink w:anchor="c_bpk_section_tax_audit">
              <w:r>
                <w:rPr>
                  <w:color w:val="2E5C4E"/>
                  <w:u w:val="single"/>
                </w:rPr>
                <w:t xml:space="preserve">Tax Audit</w:t>
              </w:r>
            </w:hyperlink>
            <w:r>
              <w:rPr>
                <w:b w:val="0"/>
                <w:i w:val="0"/>
              </w:rPr>
              <w:t xml:space="preserve">; </w:t>
            </w:r>
            <w:hyperlink w:anchor="c_bpk_section_cyber">
              <w:r>
                <w:rPr>
                  <w:color w:val="2E5C4E"/>
                  <w:u w:val="single"/>
                </w:rPr>
                <w:t xml:space="preserve">Cyber</w:t>
              </w:r>
            </w:hyperlink>
            <w:r>
              <w:rPr>
                <w:b w:val="0"/>
                <w:i w:val="0"/>
              </w:rPr>
              <w:t xml:space="preserve">; </w:t>
            </w:r>
            <w:hyperlink w:anchor="c_bpk_section_management_liability">
              <w:r>
                <w:rPr>
                  <w:color w:val="2E5C4E"/>
                  <w:u w:val="single"/>
                </w:rPr>
                <w:t xml:space="preserve">Management Liability</w:t>
              </w:r>
            </w:hyperlink>
          </w:p>
        </w:tc>
        <w:tc>
          <w:tcPr>
            <w:tcW w:type="dxa" w:w="3249"/>
          </w:tcPr>
          <w:p>
            <w:r/>
            <w:r>
              <w:rPr>
                <w:b w:val="0"/>
                <w:i w:val="0"/>
              </w:rPr>
              <w:t>None</w:t>
            </w:r>
          </w:p>
        </w:tc>
      </w:tr>
      <w:tr>
        <w:tc>
          <w:tcPr>
            <w:tcW w:type="dxa" w:w="3249"/>
          </w:tcPr>
          <w:p>
            <w:r/>
            <w:hyperlink w:anchor="c_bpk_excl_pollution">
              <w:r>
                <w:rPr>
                  <w:color w:val="2E5C4E"/>
                  <w:u w:val="single"/>
                </w:rPr>
                <w:t xml:space="preserve">Pollution</w:t>
              </w:r>
            </w:hyperlink>
          </w:p>
        </w:tc>
        <w:tc>
          <w:tcPr>
            <w:tcW w:type="dxa" w:w="3249"/>
          </w:tcPr>
          <w:p>
            <w:r/>
            <w:hyperlink w:anchor="c_bpk_section_liability">
              <w:r>
                <w:rPr>
                  <w:color w:val="2E5C4E"/>
                  <w:u w:val="single"/>
                </w:rPr>
                <w:t xml:space="preserve">Public and Products Liability</w:t>
              </w:r>
            </w:hyperlink>
            <w:r>
              <w:rPr>
                <w:b w:val="0"/>
                <w:i w:val="0"/>
              </w:rPr>
              <w:t xml:space="preserve"> (</w:t>
            </w:r>
            <w:hyperlink w:anchor="c_bpk_liability_excl_pollution">
              <w:r>
                <w:rPr>
                  <w:color w:val="2E5C4E"/>
                  <w:u w:val="single"/>
                </w:rPr>
                <w:t xml:space="preserve">the Pollution (Liability) exclusion</w:t>
              </w:r>
            </w:hyperlink>
            <w:r>
              <w:rPr>
                <w:b w:val="0"/>
                <w:i w:val="0"/>
              </w:rPr>
              <w:t xml:space="preserve"> applies instead); </w:t>
            </w:r>
            <w:hyperlink w:anchor="c_bpk_section_tax_audit">
              <w:r>
                <w:rPr>
                  <w:color w:val="2E5C4E"/>
                  <w:u w:val="single"/>
                </w:rPr>
                <w:t xml:space="preserve">Tax Audit</w:t>
              </w:r>
            </w:hyperlink>
            <w:r>
              <w:rPr>
                <w:b w:val="0"/>
                <w:i w:val="0"/>
              </w:rPr>
              <w:t xml:space="preserve">; </w:t>
            </w:r>
            <w:hyperlink w:anchor="c_bpk_section_cyber">
              <w:r>
                <w:rPr>
                  <w:color w:val="2E5C4E"/>
                  <w:u w:val="single"/>
                </w:rPr>
                <w:t xml:space="preserve">Cyber</w:t>
              </w:r>
            </w:hyperlink>
          </w:p>
        </w:tc>
        <w:tc>
          <w:tcPr>
            <w:tcW w:type="dxa" w:w="3249"/>
          </w:tcPr>
          <w:p>
            <w:r/>
            <w:r>
              <w:rPr>
                <w:b w:val="0"/>
                <w:i w:val="0"/>
              </w:rPr>
              <w:t>None</w:t>
            </w:r>
          </w:p>
        </w:tc>
      </w:tr>
      <w:tr>
        <w:tc>
          <w:tcPr>
            <w:tcW w:type="dxa" w:w="3249"/>
          </w:tcPr>
          <w:p>
            <w:r/>
            <w:hyperlink w:anchor="c_bpk_excl_electronic_data">
              <w:r>
                <w:rPr>
                  <w:color w:val="2E5C4E"/>
                  <w:u w:val="single"/>
                </w:rPr>
                <w:t xml:space="preserve">Electronic Data</w:t>
              </w:r>
            </w:hyperlink>
          </w:p>
        </w:tc>
        <w:tc>
          <w:tcPr>
            <w:tcW w:type="dxa" w:w="3249"/>
          </w:tcPr>
          <w:p>
            <w:r/>
            <w:hyperlink w:anchor="c_bpk_section_cyber">
              <w:r>
                <w:rPr>
                  <w:color w:val="2E5C4E"/>
                  <w:u w:val="single"/>
                </w:rPr>
                <w:t xml:space="preserve">Cyber</w:t>
              </w:r>
            </w:hyperlink>
          </w:p>
        </w:tc>
        <w:tc>
          <w:tcPr>
            <w:tcW w:type="dxa" w:w="3249"/>
          </w:tcPr>
          <w:p>
            <w:r/>
            <w:hyperlink w:anchor="c_bpk_section_property_damage">
              <w:r>
                <w:rPr>
                  <w:color w:val="2E5C4E"/>
                  <w:u w:val="single"/>
                </w:rPr>
                <w:t xml:space="preserve">Property Damage</w:t>
              </w:r>
            </w:hyperlink>
            <w:r>
              <w:rPr>
                <w:b w:val="0"/>
                <w:i w:val="0"/>
              </w:rPr>
              <w:t xml:space="preserve">: except the data benefit the exclusion names; </w:t>
            </w:r>
            <w:hyperlink w:anchor="c_bpk_section_business_interruption">
              <w:r>
                <w:rPr>
                  <w:color w:val="2E5C4E"/>
                  <w:u w:val="single"/>
                </w:rPr>
                <w:t xml:space="preserve">Business Interruption</w:t>
              </w:r>
            </w:hyperlink>
            <w:r>
              <w:rPr>
                <w:b w:val="0"/>
                <w:i w:val="0"/>
              </w:rPr>
              <w:t xml:space="preserve">: except the data benefit the exclusion names; </w:t>
            </w:r>
            <w:hyperlink w:anchor="c_bpk_section_equipment">
              <w:r>
                <w:rPr>
                  <w:color w:val="2E5C4E"/>
                  <w:u w:val="single"/>
                </w:rPr>
                <w:t xml:space="preserve">Equipment Damage</w:t>
              </w:r>
            </w:hyperlink>
            <w:r>
              <w:rPr>
                <w:b w:val="0"/>
                <w:i w:val="0"/>
              </w:rPr>
              <w:t>: except the data benefit the exclusion names</w:t>
            </w:r>
          </w:p>
        </w:tc>
      </w:tr>
      <w:tr>
        <w:tc>
          <w:tcPr>
            <w:tcW w:type="dxa" w:w="3249"/>
          </w:tcPr>
          <w:p>
            <w:r/>
            <w:hyperlink w:anchor="c_bpk_excl_cyber">
              <w:r>
                <w:rPr>
                  <w:color w:val="2E5C4E"/>
                  <w:u w:val="single"/>
                </w:rPr>
                <w:t xml:space="preserve">Cyber</w:t>
              </w:r>
            </w:hyperlink>
          </w:p>
        </w:tc>
        <w:tc>
          <w:tcPr>
            <w:tcW w:type="dxa" w:w="3249"/>
          </w:tcPr>
          <w:p>
            <w:r/>
            <w:hyperlink w:anchor="c_bpk_section_liability">
              <w:r>
                <w:rPr>
                  <w:color w:val="2E5C4E"/>
                  <w:u w:val="single"/>
                </w:rPr>
                <w:t xml:space="preserve">Public and Products Liability</w:t>
              </w:r>
            </w:hyperlink>
            <w:r>
              <w:rPr>
                <w:b w:val="0"/>
                <w:i w:val="0"/>
              </w:rPr>
              <w:t xml:space="preserve">; </w:t>
            </w:r>
            <w:hyperlink w:anchor="c_bpk_section_cyber">
              <w:r>
                <w:rPr>
                  <w:color w:val="2E5C4E"/>
                  <w:u w:val="single"/>
                </w:rPr>
                <w:t xml:space="preserve">Cyber</w:t>
              </w:r>
            </w:hyperlink>
            <w:r>
              <w:rPr>
                <w:b w:val="0"/>
                <w:i w:val="0"/>
              </w:rPr>
              <w:t xml:space="preserve">; </w:t>
            </w:r>
            <w:hyperlink w:anchor="c_bpk_section_management_liability">
              <w:r>
                <w:rPr>
                  <w:color w:val="2E5C4E"/>
                  <w:u w:val="single"/>
                </w:rPr>
                <w:t xml:space="preserve">Management Liability</w:t>
              </w:r>
            </w:hyperlink>
          </w:p>
        </w:tc>
        <w:tc>
          <w:tcPr>
            <w:tcW w:type="dxa" w:w="3249"/>
          </w:tcPr>
          <w:p>
            <w:r/>
            <w:hyperlink w:anchor="c_bpk_section_property_damage">
              <w:r>
                <w:rPr>
                  <w:color w:val="2E5C4E"/>
                  <w:u w:val="single"/>
                </w:rPr>
                <w:t xml:space="preserve">Property Damage</w:t>
              </w:r>
            </w:hyperlink>
            <w:r>
              <w:rPr>
                <w:b w:val="0"/>
                <w:i w:val="0"/>
              </w:rPr>
              <w:t xml:space="preserve">: except fire or explosion resulting from a Cyber event; </w:t>
            </w:r>
            <w:hyperlink w:anchor="c_bpk_section_business_interruption">
              <w:r>
                <w:rPr>
                  <w:color w:val="2E5C4E"/>
                  <w:u w:val="single"/>
                </w:rPr>
                <w:t xml:space="preserve">Business Interruption</w:t>
              </w:r>
            </w:hyperlink>
            <w:r>
              <w:rPr>
                <w:b w:val="0"/>
                <w:i w:val="0"/>
              </w:rPr>
              <w:t xml:space="preserve">: except fire or explosion resulting from a Cyber event; </w:t>
            </w:r>
            <w:hyperlink w:anchor="c_bpk_section_crime">
              <w:r>
                <w:rPr>
                  <w:color w:val="2E5C4E"/>
                  <w:u w:val="single"/>
                </w:rPr>
                <w:t xml:space="preserve">Comprehensive Crime</w:t>
              </w:r>
            </w:hyperlink>
            <w:r>
              <w:rPr>
                <w:b w:val="0"/>
                <w:i w:val="0"/>
              </w:rPr>
              <w:t xml:space="preserve">: does not apply to </w:t>
            </w:r>
            <w:hyperlink w:anchor="c_bpk_crime_cover_computer_fraud">
              <w:r>
                <w:rPr>
                  <w:color w:val="2E5C4E"/>
                  <w:u w:val="single"/>
                </w:rPr>
                <w:t xml:space="preserve">the Computer Fraud clause</w:t>
              </w:r>
            </w:hyperlink>
            <w:r>
              <w:rPr>
                <w:b w:val="0"/>
                <w:i w:val="0"/>
              </w:rPr>
              <w:t xml:space="preserve"> or </w:t>
            </w:r>
            <w:hyperlink w:anchor="c_bpk_crime_cover_social_engineering_fra">
              <w:r>
                <w:rPr>
                  <w:color w:val="2E5C4E"/>
                  <w:u w:val="single"/>
                </w:rPr>
                <w:t xml:space="preserve">the Social Engineering Fraud clause</w:t>
              </w:r>
            </w:hyperlink>
            <w:r>
              <w:rPr>
                <w:b w:val="0"/>
                <w:i w:val="0"/>
              </w:rPr>
              <w:t xml:space="preserve">; </w:t>
            </w:r>
            <w:hyperlink w:anchor="c_bpk_section_glass">
              <w:r>
                <w:rPr>
                  <w:color w:val="2E5C4E"/>
                  <w:u w:val="single"/>
                </w:rPr>
                <w:t xml:space="preserve">Glass</w:t>
              </w:r>
            </w:hyperlink>
            <w:r>
              <w:rPr>
                <w:b w:val="0"/>
                <w:i w:val="0"/>
              </w:rPr>
              <w:t xml:space="preserve">: except fire or explosion resulting from a Cyber event; </w:t>
            </w:r>
            <w:hyperlink w:anchor="c_bpk_section_equipment">
              <w:r>
                <w:rPr>
                  <w:color w:val="2E5C4E"/>
                  <w:u w:val="single"/>
                </w:rPr>
                <w:t xml:space="preserve">Equipment Damage</w:t>
              </w:r>
            </w:hyperlink>
            <w:r>
              <w:rPr>
                <w:b w:val="0"/>
                <w:i w:val="0"/>
              </w:rPr>
              <w:t xml:space="preserve">: except fire or explosion resulting from a Cyber event, and except Damage caused by Breakdown that </w:t>
            </w:r>
            <w:hyperlink w:anchor="c_bpk_equipment_cover">
              <w:r>
                <w:rPr>
                  <w:color w:val="2E5C4E"/>
                  <w:u w:val="single"/>
                </w:rPr>
                <w:t xml:space="preserve">the Equipment Breakdown and Damage clause</w:t>
              </w:r>
            </w:hyperlink>
            <w:r>
              <w:rPr>
                <w:b w:val="0"/>
                <w:i w:val="0"/>
              </w:rPr>
              <w:t xml:space="preserve"> covers; </w:t>
            </w:r>
            <w:hyperlink w:anchor="c_bpk_section_general_property">
              <w:r>
                <w:rPr>
                  <w:color w:val="2E5C4E"/>
                  <w:u w:val="single"/>
                </w:rPr>
                <w:t xml:space="preserve">General Property</w:t>
              </w:r>
            </w:hyperlink>
            <w:r>
              <w:rPr>
                <w:b w:val="0"/>
                <w:i w:val="0"/>
              </w:rPr>
              <w:t xml:space="preserve">: except fire or explosion resulting from a Cyber event; </w:t>
            </w:r>
            <w:hyperlink w:anchor="c_bpk_section_transit">
              <w:r>
                <w:rPr>
                  <w:color w:val="2E5C4E"/>
                  <w:u w:val="single"/>
                </w:rPr>
                <w:t xml:space="preserve">Goods in Transit</w:t>
              </w:r>
            </w:hyperlink>
            <w:r>
              <w:rPr>
                <w:b w:val="0"/>
                <w:i w:val="0"/>
              </w:rPr>
              <w:t>: except fire or explosion resulting from a Cyber event</w:t>
            </w:r>
          </w:p>
        </w:tc>
      </w:tr>
      <w:tr>
        <w:tc>
          <w:tcPr>
            <w:tcW w:type="dxa" w:w="3249"/>
          </w:tcPr>
          <w:p>
            <w:r/>
            <w:hyperlink w:anchor="c_bpk_excl_gradual_causes">
              <w:r>
                <w:rPr>
                  <w:color w:val="2E5C4E"/>
                  <w:u w:val="single"/>
                </w:rPr>
                <w:t xml:space="preserve">Gradual Causes</w:t>
              </w:r>
            </w:hyperlink>
          </w:p>
        </w:tc>
        <w:tc>
          <w:tcPr>
            <w:tcW w:type="dxa" w:w="3249"/>
          </w:tcPr>
          <w:p>
            <w:r/>
            <w:hyperlink w:anchor="c_bpk_section_crime">
              <w:r>
                <w:rPr>
                  <w:color w:val="2E5C4E"/>
                  <w:u w:val="single"/>
                </w:rPr>
                <w:t xml:space="preserve">Comprehensive Crime</w:t>
              </w:r>
            </w:hyperlink>
            <w:r>
              <w:rPr>
                <w:b w:val="0"/>
                <w:i w:val="0"/>
              </w:rPr>
              <w:t xml:space="preserve">; </w:t>
            </w:r>
            <w:hyperlink w:anchor="c_bpk_section_liability">
              <w:r>
                <w:rPr>
                  <w:color w:val="2E5C4E"/>
                  <w:u w:val="single"/>
                </w:rPr>
                <w:t xml:space="preserve">Public and Products Liability</w:t>
              </w:r>
            </w:hyperlink>
            <w:r>
              <w:rPr>
                <w:b w:val="0"/>
                <w:i w:val="0"/>
              </w:rPr>
              <w:t xml:space="preserve">; </w:t>
            </w:r>
            <w:hyperlink w:anchor="c_bpk_section_tax_audit">
              <w:r>
                <w:rPr>
                  <w:color w:val="2E5C4E"/>
                  <w:u w:val="single"/>
                </w:rPr>
                <w:t xml:space="preserve">Tax Audit</w:t>
              </w:r>
            </w:hyperlink>
            <w:r>
              <w:rPr>
                <w:b w:val="0"/>
                <w:i w:val="0"/>
              </w:rPr>
              <w:t xml:space="preserve">; </w:t>
            </w:r>
            <w:hyperlink w:anchor="c_bpk_section_cyber">
              <w:r>
                <w:rPr>
                  <w:color w:val="2E5C4E"/>
                  <w:u w:val="single"/>
                </w:rPr>
                <w:t xml:space="preserve">Cyber</w:t>
              </w:r>
            </w:hyperlink>
            <w:r>
              <w:rPr>
                <w:b w:val="0"/>
                <w:i w:val="0"/>
              </w:rPr>
              <w:t xml:space="preserve">; </w:t>
            </w:r>
            <w:hyperlink w:anchor="c_bpk_section_management_liability">
              <w:r>
                <w:rPr>
                  <w:color w:val="2E5C4E"/>
                  <w:u w:val="single"/>
                </w:rPr>
                <w:t xml:space="preserve">Management Liability</w:t>
              </w:r>
            </w:hyperlink>
          </w:p>
        </w:tc>
        <w:tc>
          <w:tcPr>
            <w:tcW w:type="dxa" w:w="3249"/>
          </w:tcPr>
          <w:p>
            <w:r/>
            <w:r>
              <w:rPr>
                <w:b w:val="0"/>
                <w:i w:val="0"/>
              </w:rPr>
              <w:t>None</w:t>
            </w:r>
          </w:p>
        </w:tc>
      </w:tr>
      <w:tr>
        <w:tc>
          <w:tcPr>
            <w:tcW w:type="dxa" w:w="3249"/>
          </w:tcPr>
          <w:p>
            <w:r/>
            <w:hyperlink w:anchor="c_bpk_excl_deliberate_acts">
              <w:r>
                <w:rPr>
                  <w:color w:val="2E5C4E"/>
                  <w:u w:val="single"/>
                </w:rPr>
                <w:t xml:space="preserve">Deliberate Acts</w:t>
              </w:r>
            </w:hyperlink>
          </w:p>
        </w:tc>
        <w:tc>
          <w:tcPr>
            <w:tcW w:type="dxa" w:w="3249"/>
          </w:tcPr>
          <w:p>
            <w:r/>
            <w:hyperlink w:anchor="c_bpk_section_management_liability">
              <w:r>
                <w:rPr>
                  <w:color w:val="2E5C4E"/>
                  <w:u w:val="single"/>
                </w:rPr>
                <w:t xml:space="preserve">Management Liability</w:t>
              </w:r>
            </w:hyperlink>
            <w:r>
              <w:rPr>
                <w:b w:val="0"/>
                <w:i w:val="0"/>
              </w:rPr>
              <w:t xml:space="preserve"> (</w:t>
            </w:r>
            <w:hyperlink w:anchor="c_bpk_ml_conduct">
              <w:r>
                <w:rPr>
                  <w:color w:val="2E5C4E"/>
                  <w:u w:val="single"/>
                </w:rPr>
                <w:t xml:space="preserve">the Conduct exclusion</w:t>
              </w:r>
            </w:hyperlink>
            <w:r>
              <w:rPr>
                <w:b w:val="0"/>
                <w:i w:val="0"/>
              </w:rPr>
              <w:t xml:space="preserve"> applies instead)</w:t>
            </w:r>
          </w:p>
        </w:tc>
        <w:tc>
          <w:tcPr>
            <w:tcW w:type="dxa" w:w="3249"/>
          </w:tcPr>
          <w:p>
            <w:r/>
            <w:hyperlink w:anchor="c_bpk_section_crime">
              <w:r>
                <w:rPr>
                  <w:color w:val="2E5C4E"/>
                  <w:u w:val="single"/>
                </w:rPr>
                <w:t xml:space="preserve">Comprehensive Crime</w:t>
              </w:r>
            </w:hyperlink>
            <w:r>
              <w:rPr>
                <w:b w:val="0"/>
                <w:i w:val="0"/>
              </w:rPr>
              <w:t xml:space="preserve">: applies to acts of you and your directors only, not to a Dishonest act of an Employee covered under </w:t>
            </w:r>
            <w:hyperlink w:anchor="c_bpk_crime_cover_employee_dishonesty">
              <w:r>
                <w:rPr>
                  <w:color w:val="2E5C4E"/>
                  <w:u w:val="single"/>
                </w:rPr>
                <w:t xml:space="preserve">the Employee Dishonesty clause</w:t>
              </w:r>
            </w:hyperlink>
          </w:p>
        </w:tc>
      </w:tr>
      <w:tr>
        <w:tc>
          <w:tcPr>
            <w:tcW w:type="dxa" w:w="3249"/>
          </w:tcPr>
          <w:p>
            <w:r/>
            <w:hyperlink w:anchor="c_bpk_excl_unoccupied_premises">
              <w:r>
                <w:rPr>
                  <w:color w:val="2E5C4E"/>
                  <w:u w:val="single"/>
                </w:rPr>
                <w:t xml:space="preserve">Unoccupied Premises</w:t>
              </w:r>
            </w:hyperlink>
          </w:p>
        </w:tc>
        <w:tc>
          <w:tcPr>
            <w:tcW w:type="dxa" w:w="3249"/>
          </w:tcPr>
          <w:p>
            <w:r/>
            <w:hyperlink w:anchor="c_bpk_section_liability">
              <w:r>
                <w:rPr>
                  <w:color w:val="2E5C4E"/>
                  <w:u w:val="single"/>
                </w:rPr>
                <w:t xml:space="preserve">Public and Products Liability</w:t>
              </w:r>
            </w:hyperlink>
            <w:r>
              <w:rPr>
                <w:b w:val="0"/>
                <w:i w:val="0"/>
              </w:rPr>
              <w:t xml:space="preserve">; </w:t>
            </w:r>
            <w:hyperlink w:anchor="c_bpk_section_tax_audit">
              <w:r>
                <w:rPr>
                  <w:color w:val="2E5C4E"/>
                  <w:u w:val="single"/>
                </w:rPr>
                <w:t xml:space="preserve">Tax Audit</w:t>
              </w:r>
            </w:hyperlink>
            <w:r>
              <w:rPr>
                <w:b w:val="0"/>
                <w:i w:val="0"/>
              </w:rPr>
              <w:t xml:space="preserve">; </w:t>
            </w:r>
            <w:hyperlink w:anchor="c_bpk_section_cyber">
              <w:r>
                <w:rPr>
                  <w:color w:val="2E5C4E"/>
                  <w:u w:val="single"/>
                </w:rPr>
                <w:t xml:space="preserve">Cyber</w:t>
              </w:r>
            </w:hyperlink>
            <w:r>
              <w:rPr>
                <w:b w:val="0"/>
                <w:i w:val="0"/>
              </w:rPr>
              <w:t xml:space="preserve">; </w:t>
            </w:r>
            <w:hyperlink w:anchor="c_bpk_section_management_liability">
              <w:r>
                <w:rPr>
                  <w:color w:val="2E5C4E"/>
                  <w:u w:val="single"/>
                </w:rPr>
                <w:t xml:space="preserve">Management Liability</w:t>
              </w:r>
            </w:hyperlink>
          </w:p>
        </w:tc>
        <w:tc>
          <w:tcPr>
            <w:tcW w:type="dxa" w:w="3249"/>
          </w:tcPr>
          <w:p>
            <w:r/>
            <w:r>
              <w:rPr>
                <w:b w:val="0"/>
                <w:i w:val="0"/>
              </w:rPr>
              <w:t>None</w:t>
            </w:r>
          </w:p>
        </w:tc>
      </w:tr>
      <w:tr>
        <w:tc>
          <w:tcPr>
            <w:tcW w:type="dxa" w:w="3249"/>
          </w:tcPr>
          <w:p>
            <w:r/>
            <w:hyperlink w:anchor="c_bpk_excl_known_defects">
              <w:r>
                <w:rPr>
                  <w:color w:val="2E5C4E"/>
                  <w:u w:val="single"/>
                </w:rPr>
                <w:t xml:space="preserve">Known Defects</w:t>
              </w:r>
            </w:hyperlink>
          </w:p>
        </w:tc>
        <w:tc>
          <w:tcPr>
            <w:tcW w:type="dxa" w:w="3249"/>
          </w:tcPr>
          <w:p>
            <w:r/>
            <w:hyperlink w:anchor="c_bpk_section_liability">
              <w:r>
                <w:rPr>
                  <w:color w:val="2E5C4E"/>
                  <w:u w:val="single"/>
                </w:rPr>
                <w:t xml:space="preserve">Public and Products Liability</w:t>
              </w:r>
            </w:hyperlink>
            <w:r>
              <w:rPr>
                <w:b w:val="0"/>
                <w:i w:val="0"/>
              </w:rPr>
              <w:t xml:space="preserve">; </w:t>
            </w:r>
            <w:hyperlink w:anchor="c_bpk_section_tax_audit">
              <w:r>
                <w:rPr>
                  <w:color w:val="2E5C4E"/>
                  <w:u w:val="single"/>
                </w:rPr>
                <w:t xml:space="preserve">Tax Audit</w:t>
              </w:r>
            </w:hyperlink>
            <w:r>
              <w:rPr>
                <w:b w:val="0"/>
                <w:i w:val="0"/>
              </w:rPr>
              <w:t xml:space="preserve">; </w:t>
            </w:r>
            <w:hyperlink w:anchor="c_bpk_section_cyber">
              <w:r>
                <w:rPr>
                  <w:color w:val="2E5C4E"/>
                  <w:u w:val="single"/>
                </w:rPr>
                <w:t xml:space="preserve">Cyber</w:t>
              </w:r>
            </w:hyperlink>
            <w:r>
              <w:rPr>
                <w:b w:val="0"/>
                <w:i w:val="0"/>
              </w:rPr>
              <w:t xml:space="preserve">; </w:t>
            </w:r>
            <w:hyperlink w:anchor="c_bpk_section_management_liability">
              <w:r>
                <w:rPr>
                  <w:color w:val="2E5C4E"/>
                  <w:u w:val="single"/>
                </w:rPr>
                <w:t xml:space="preserve">Management Liability</w:t>
              </w:r>
            </w:hyperlink>
          </w:p>
        </w:tc>
        <w:tc>
          <w:tcPr>
            <w:tcW w:type="dxa" w:w="3249"/>
          </w:tcPr>
          <w:p>
            <w:r/>
            <w:r>
              <w:rPr>
                <w:b w:val="0"/>
                <w:i w:val="0"/>
              </w:rPr>
              <w:t>None</w:t>
            </w:r>
          </w:p>
        </w:tc>
      </w:tr>
      <w:tr>
        <w:tc>
          <w:tcPr>
            <w:tcW w:type="dxa" w:w="3249"/>
          </w:tcPr>
          <w:p>
            <w:r/>
            <w:hyperlink w:anchor="c_bpk_excl_confiscation">
              <w:r>
                <w:rPr>
                  <w:color w:val="2E5C4E"/>
                  <w:u w:val="single"/>
                </w:rPr>
                <w:t xml:space="preserve">Confiscation</w:t>
              </w:r>
            </w:hyperlink>
          </w:p>
        </w:tc>
        <w:tc>
          <w:tcPr>
            <w:tcW w:type="dxa" w:w="3249"/>
          </w:tcPr>
          <w:p>
            <w:r/>
            <w:hyperlink w:anchor="c_bpk_section_liability">
              <w:r>
                <w:rPr>
                  <w:color w:val="2E5C4E"/>
                  <w:u w:val="single"/>
                </w:rPr>
                <w:t xml:space="preserve">Public and Products Liability</w:t>
              </w:r>
            </w:hyperlink>
            <w:r>
              <w:rPr>
                <w:b w:val="0"/>
                <w:i w:val="0"/>
              </w:rPr>
              <w:t xml:space="preserve">; </w:t>
            </w:r>
            <w:hyperlink w:anchor="c_bpk_section_tax_audit">
              <w:r>
                <w:rPr>
                  <w:color w:val="2E5C4E"/>
                  <w:u w:val="single"/>
                </w:rPr>
                <w:t xml:space="preserve">Tax Audit</w:t>
              </w:r>
            </w:hyperlink>
            <w:r>
              <w:rPr>
                <w:b w:val="0"/>
                <w:i w:val="0"/>
              </w:rPr>
              <w:t xml:space="preserve">; </w:t>
            </w:r>
            <w:hyperlink w:anchor="c_bpk_section_cyber">
              <w:r>
                <w:rPr>
                  <w:color w:val="2E5C4E"/>
                  <w:u w:val="single"/>
                </w:rPr>
                <w:t xml:space="preserve">Cyber</w:t>
              </w:r>
            </w:hyperlink>
            <w:r>
              <w:rPr>
                <w:b w:val="0"/>
                <w:i w:val="0"/>
              </w:rPr>
              <w:t xml:space="preserve">; </w:t>
            </w:r>
            <w:hyperlink w:anchor="c_bpk_section_management_liability">
              <w:r>
                <w:rPr>
                  <w:color w:val="2E5C4E"/>
                  <w:u w:val="single"/>
                </w:rPr>
                <w:t xml:space="preserve">Management Liability</w:t>
              </w:r>
            </w:hyperlink>
          </w:p>
        </w:tc>
        <w:tc>
          <w:tcPr>
            <w:tcW w:type="dxa" w:w="3249"/>
          </w:tcPr>
          <w:p>
            <w:r/>
            <w:r>
              <w:rPr>
                <w:b w:val="0"/>
                <w:i w:val="0"/>
              </w:rPr>
              <w:t>None</w:t>
            </w:r>
          </w:p>
        </w:tc>
      </w:tr>
      <w:tr>
        <w:tc>
          <w:tcPr>
            <w:tcW w:type="dxa" w:w="3249"/>
          </w:tcPr>
          <w:p>
            <w:r/>
            <w:hyperlink w:anchor="c_bpk_excl_consequential_loss">
              <w:r>
                <w:rPr>
                  <w:color w:val="2E5C4E"/>
                  <w:u w:val="single"/>
                </w:rPr>
                <w:t xml:space="preserve">Consequential Loss</w:t>
              </w:r>
            </w:hyperlink>
          </w:p>
        </w:tc>
        <w:tc>
          <w:tcPr>
            <w:tcW w:type="dxa" w:w="3249"/>
          </w:tcPr>
          <w:p>
            <w:r/>
            <w:hyperlink w:anchor="c_bpk_section_business_interruption">
              <w:r>
                <w:rPr>
                  <w:color w:val="2E5C4E"/>
                  <w:u w:val="single"/>
                </w:rPr>
                <w:t xml:space="preserve">Business Interruption</w:t>
              </w:r>
            </w:hyperlink>
            <w:r>
              <w:rPr>
                <w:b w:val="0"/>
                <w:i w:val="0"/>
              </w:rPr>
              <w:t xml:space="preserve">; </w:t>
            </w:r>
            <w:hyperlink w:anchor="c_bpk_section_liability">
              <w:r>
                <w:rPr>
                  <w:color w:val="2E5C4E"/>
                  <w:u w:val="single"/>
                </w:rPr>
                <w:t xml:space="preserve">Public and Products Liability</w:t>
              </w:r>
            </w:hyperlink>
            <w:r>
              <w:rPr>
                <w:b w:val="0"/>
                <w:i w:val="0"/>
              </w:rPr>
              <w:t xml:space="preserve">; </w:t>
            </w:r>
            <w:hyperlink w:anchor="c_bpk_section_cyber">
              <w:r>
                <w:rPr>
                  <w:color w:val="2E5C4E"/>
                  <w:u w:val="single"/>
                </w:rPr>
                <w:t xml:space="preserve">Cyber</w:t>
              </w:r>
            </w:hyperlink>
            <w:r>
              <w:rPr>
                <w:b w:val="0"/>
                <w:i w:val="0"/>
              </w:rPr>
              <w:t xml:space="preserve">; </w:t>
            </w:r>
            <w:hyperlink w:anchor="c_bpk_section_management_liability">
              <w:r>
                <w:rPr>
                  <w:color w:val="2E5C4E"/>
                  <w:u w:val="single"/>
                </w:rPr>
                <w:t xml:space="preserve">Management Liability</w:t>
              </w:r>
            </w:hyperlink>
          </w:p>
        </w:tc>
        <w:tc>
          <w:tcPr>
            <w:tcW w:type="dxa" w:w="3249"/>
          </w:tcPr>
          <w:p>
            <w:r/>
            <w:r>
              <w:rPr>
                <w:b w:val="0"/>
                <w:i w:val="0"/>
              </w:rPr>
              <w:t>None</w:t>
            </w:r>
          </w:p>
        </w:tc>
      </w:tr>
    </w:tbl>
    <w:p>
      <w:bookmarkStart w:id="196" w:name="c_bpk_licence_notice"/>
      <w:r>
        <w:rPr>
          <w:rFonts w:ascii="Georgia" w:hAnsi="Georgia" w:eastAsia="Georgia"/>
          <w:b/>
          <w:i w:val="0"/>
          <w:color w:val="1C1915"/>
          <w:sz w:val="32"/>
        </w:rPr>
        <w:t>Licence and Trademark Notice</w:t>
      </w:r>
      <w:bookmarkEnd w:id="196"/>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and a Product Disclosure Statement and target market determination where the law requires them.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Changes from version 2.1.0:</w:t>
      </w:r>
    </w:p>
    <w:p>
      <w:pPr>
        <w:pStyle w:val="ListBullet"/>
      </w:pPr>
      <w:r>
        <w:rPr>
          <w:b w:val="0"/>
          <w:i w:val="0"/>
        </w:rPr>
        <w:t>Limits and More Than One Section: sections now respond together to different parts of one event (a fire is paid under Property Damage and Business Interruption). The one-section rule applies only where the same part of a loss is covered twice. A loss of funds covered by both Crime and Cyber is paid under Crime where Crime is insured. For any other overlap the section giving the greater amount pays. The same loss is never paid twice.</w:t>
      </w:r>
    </w:p>
    <w:p>
      <w:pPr>
        <w:pStyle w:val="ListBullet"/>
      </w:pPr>
      <w:r>
        <w:rPr>
          <w:b w:val="0"/>
          <w:i w:val="0"/>
        </w:rPr>
        <w:t>Excess: for one event under more than one section, you bear the highest of the Excesses of the sections that pay, once.</w:t>
      </w:r>
    </w:p>
    <w:p>
      <w:pPr>
        <w:pStyle w:val="ListBullet"/>
      </w:pPr>
      <w:r>
        <w:rPr>
          <w:b w:val="0"/>
          <w:i w:val="0"/>
        </w:rPr>
        <w:t>Other Insurance: replaced. We do not refuse or reduce a payment because of other insurance, and we may seek contribution. This Policy is excess only of a specified underlying policy named in the Schedule or an Endorsement. The separate Crime and Cyber rule now sits in Limits and More Than One Section.</w:t>
      </w:r>
    </w:p>
    <w:p>
      <w:pPr>
        <w:pStyle w:val="ListBullet"/>
      </w:pPr>
      <w:r>
        <w:rPr>
          <w:b w:val="0"/>
          <w:i w:val="0"/>
        </w:rPr>
        <w:t>Relationship With Comprehensive Crime: now points to Limits and More Than One Section for priority.</w:t>
      </w:r>
    </w:p>
    <w:p>
      <w:pPr>
        <w:pStyle w:val="ListBullet"/>
      </w:pPr>
      <w:r>
        <w:rPr>
          <w:b w:val="0"/>
          <w:i w:val="0"/>
        </w:rPr>
        <w:t>Insurance Contracts Act 1984 (Cth) (previously headed The Insurance Contracts Act): replaced with a full statement that section 54 applies to every condition, exclusion, limit and obligation.</w:t>
      </w:r>
    </w:p>
    <w:p>
      <w:pPr>
        <w:pStyle w:val="ListBullet"/>
      </w:pPr>
      <w:r>
        <w:rPr>
          <w:b w:val="0"/>
          <w:i w:val="0"/>
        </w:rPr>
        <w:t>Sanctions: replaced with a standalone condition naming the Australian regimes and, to the extent they apply to us, the UK, US and EU regimes. United Nations resolutions are no longer named separately. Wording Partner review tag added.</w:t>
      </w:r>
    </w:p>
    <w:p>
      <w:pPr>
        <w:pStyle w:val="ListBullet"/>
      </w:pPr>
      <w:r>
        <w:rPr>
          <w:b w:val="0"/>
          <w:i w:val="0"/>
        </w:rPr>
        <w:t>Cancellation: restated. You may cancel at any time and receive a pro-rata refund. No refund applies to insured property for which we have paid a total loss. We may cancel only as the Insurance Contracts Act allows.</w:t>
      </w:r>
    </w:p>
    <w:p>
      <w:pPr>
        <w:pStyle w:val="ListBullet"/>
      </w:pPr>
      <w:r>
        <w:rPr>
          <w:b w:val="0"/>
          <w:i w:val="0"/>
        </w:rPr>
        <w:t>Business Interruption Exclusions: the first exclusion no longer removes loss covered by the vicinity-damage limb of Interruption of the Business or by the Business Interruption Additional Benefits.</w:t>
      </w:r>
    </w:p>
    <w:p>
      <w:pPr>
        <w:pStyle w:val="ListBullet"/>
      </w:pPr>
      <w:r>
        <w:rPr>
          <w:b w:val="0"/>
          <w:i w:val="0"/>
        </w:rPr>
        <w:t>Cyber (general exclusion): does not apply to Damage caused by Breakdown that the Equipment section covers. The Exclusion Applicability Table says the same.</w:t>
      </w:r>
    </w:p>
    <w:p>
      <w:pPr>
        <w:pStyle w:val="ListBullet"/>
      </w:pPr>
      <w:r>
        <w:rPr>
          <w:b w:val="0"/>
          <w:i w:val="0"/>
        </w:rPr>
        <w:t>Known Defects: now tied to loss or Damage caused by a Defect, with a new definition of Defect and a new definition of Control group. It turns on what a member of the Control group knew. It does not apply to Public and Products Liability, and the Exclusion Applicability Table says so. The Tax Audit and Cyber prior-matters exclusions also use the Control group.</w:t>
      </w:r>
    </w:p>
    <w:p>
      <w:pPr>
        <w:pStyle w:val="ListBullet"/>
      </w:pPr>
      <w:r>
        <w:rPr>
          <w:b w:val="0"/>
          <w:i w:val="0"/>
        </w:rPr>
        <w:t>E07 Product Recall Costs: now has its own promise to pay the costs of recalling Your products, within the recall sub-limit, with stated exclusions. Repair, replacement and refund of the products stay excluded.</w:t>
      </w:r>
    </w:p>
    <w:p>
      <w:pPr>
        <w:pStyle w:val="ListBullet"/>
      </w:pPr>
      <w:r>
        <w:rPr>
          <w:b w:val="0"/>
          <w:i w:val="0"/>
        </w:rPr>
        <w:t>E11 Voluntary Workers' Personal Accident: defines voluntary worker, voluntary work and Disablement, and states how the Endorsement fits with the Employee definition, the Injury to Employees exclusion and workers' compensation.</w:t>
      </w:r>
    </w:p>
    <w:p>
      <w:pPr>
        <w:pStyle w:val="ListBullet"/>
      </w:pPr>
      <w:r>
        <w:rPr>
          <w:b w:val="0"/>
          <w:i w:val="0"/>
        </w:rPr>
        <w:t>Management Liability: new condition on sections 199A and 199B of the Corporations Act 2001 (Cth), replacing the separate statement of section 199B. Defence costs advanced in a civil penalty or criminal proceeding must be repaid if a Final adjudication or court finding establishes conduct that cannot be covered. The fines and penalties position is restated in Statutory Insurability and at the Statutory Liability and Cyber Regulatory promises. It names New South Wales, Victoria and Queensland and excludes criminal fines. Wording Partner review tags added.</w:t>
      </w:r>
    </w:p>
    <w:p>
      <w:pPr>
        <w:pStyle w:val="ListBullet"/>
      </w:pPr>
      <w:r>
        <w:rPr>
          <w:b w:val="0"/>
          <w:i w:val="0"/>
        </w:rPr>
        <w:t>Who This Policy Is For: restated to say that some buyers may be retail clients, in which case a Product Disclosure Statement and Target Market Determination are needed.</w:t>
      </w:r>
    </w:p>
    <w:p>
      <w:pPr>
        <w:pStyle w:val="ListBullet"/>
      </w:pPr>
      <w:r>
        <w:rPr>
          <w:b w:val="0"/>
          <w:i w:val="0"/>
        </w:rPr>
        <w:t>The Endorsement Library and Exclusion Applicability Table: table cells now show their content in the Word file.</w:t>
      </w:r>
    </w:p>
    <w:p>
      <w:r>
        <w:rPr>
          <w:b w:val="0"/>
          <w:i/>
          <w:sz w:val="18"/>
        </w:rPr>
        <w:t>Cuttleflow Systems — Open Source Insurance Wording</w:t>
      </w:r>
    </w:p>
    <w:p>
      <w:r>
        <w:rPr>
          <w:rFonts w:ascii="Consolas" w:hAnsi="Consolas" w:eastAsia="Consolas"/>
          <w:b w:val="0"/>
          <w:i w:val="0"/>
          <w:sz w:val="16"/>
        </w:rPr>
        <w:t>2026/PK/0001 · v2.2.0-DRAFT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2026/PK/0001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BUSINESS PACKAGE INSURANCE · V2.2.0-DRAFT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Package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